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182A05" w14:textId="77777777" w:rsidR="00922A83" w:rsidRDefault="00922A83" w:rsidP="00922A83">
      <w:pPr>
        <w:jc w:val="both"/>
        <w:rPr>
          <w:rFonts w:ascii="Times New Roman" w:eastAsia="Calibri" w:hAnsi="Times New Roman"/>
        </w:rPr>
      </w:pPr>
    </w:p>
    <w:p w14:paraId="2842DEF7" w14:textId="462A414E" w:rsidR="00922A83" w:rsidRPr="00347267" w:rsidRDefault="00922A83" w:rsidP="00922A83">
      <w:pPr>
        <w:jc w:val="both"/>
        <w:rPr>
          <w:rFonts w:ascii="Times New Roman" w:eastAsia="Calibri" w:hAnsi="Times New Roman"/>
        </w:rPr>
      </w:pPr>
      <w:r w:rsidRPr="00347267">
        <w:rPr>
          <w:rFonts w:ascii="Times New Roman" w:eastAsia="Calibri" w:hAnsi="Times New Roman"/>
        </w:rPr>
        <w:t>July X, 2021</w:t>
      </w:r>
    </w:p>
    <w:p w14:paraId="28706440" w14:textId="77777777" w:rsidR="00922A83" w:rsidRPr="00347267" w:rsidRDefault="00922A83" w:rsidP="00922A83">
      <w:pPr>
        <w:jc w:val="both"/>
        <w:rPr>
          <w:rFonts w:ascii="Times New Roman" w:eastAsia="Calibri" w:hAnsi="Times New Roman"/>
        </w:rPr>
      </w:pPr>
    </w:p>
    <w:p w14:paraId="7AC2BFC4" w14:textId="77777777" w:rsidR="00922A83" w:rsidRPr="00347267" w:rsidRDefault="00922A83" w:rsidP="00922A83">
      <w:pPr>
        <w:jc w:val="both"/>
        <w:rPr>
          <w:rFonts w:ascii="Times New Roman" w:eastAsia="Calibri" w:hAnsi="Times New Roman"/>
        </w:rPr>
      </w:pPr>
      <w:r w:rsidRPr="00347267">
        <w:rPr>
          <w:rFonts w:ascii="Times New Roman" w:eastAsia="Calibri" w:hAnsi="Times New Roman"/>
        </w:rPr>
        <w:t>Mr. Christopher S. Shultz</w:t>
      </w:r>
    </w:p>
    <w:p w14:paraId="1C43BE36" w14:textId="77777777" w:rsidR="00922A83" w:rsidRDefault="00922A83" w:rsidP="00922A83">
      <w:pPr>
        <w:jc w:val="both"/>
        <w:rPr>
          <w:rFonts w:ascii="Times New Roman" w:eastAsia="Calibri" w:hAnsi="Times New Roman"/>
        </w:rPr>
      </w:pPr>
      <w:r w:rsidRPr="00347267">
        <w:rPr>
          <w:rFonts w:ascii="Times New Roman" w:eastAsia="Calibri" w:hAnsi="Times New Roman"/>
        </w:rPr>
        <w:t>Acting Commissioner of Financial Protection and Innovation</w:t>
      </w:r>
    </w:p>
    <w:p w14:paraId="6DE4E8C5" w14:textId="77777777" w:rsidR="00922A83" w:rsidRDefault="00922A83" w:rsidP="00922A83">
      <w:pPr>
        <w:jc w:val="both"/>
        <w:rPr>
          <w:rFonts w:ascii="Times New Roman" w:eastAsia="Calibri" w:hAnsi="Times New Roman"/>
        </w:rPr>
      </w:pPr>
      <w:r>
        <w:rPr>
          <w:rFonts w:ascii="Times New Roman" w:eastAsia="Calibri" w:hAnsi="Times New Roman"/>
        </w:rPr>
        <w:t>Department of Financial Protection and Innovation</w:t>
      </w:r>
    </w:p>
    <w:p w14:paraId="01C2AE87" w14:textId="77777777" w:rsidR="00922A83" w:rsidRDefault="00922A83" w:rsidP="00922A83">
      <w:pPr>
        <w:jc w:val="both"/>
        <w:rPr>
          <w:rFonts w:ascii="Times New Roman" w:eastAsia="Calibri" w:hAnsi="Times New Roman"/>
        </w:rPr>
      </w:pPr>
      <w:r w:rsidRPr="00347267">
        <w:rPr>
          <w:rFonts w:ascii="Times New Roman" w:eastAsia="Calibri" w:hAnsi="Times New Roman"/>
        </w:rPr>
        <w:t>California Business, Consumer Services and Housing Agency</w:t>
      </w:r>
    </w:p>
    <w:p w14:paraId="24AE2652" w14:textId="77777777" w:rsidR="00922A83" w:rsidRPr="00347267" w:rsidRDefault="00922A83" w:rsidP="00922A83">
      <w:pPr>
        <w:jc w:val="both"/>
        <w:rPr>
          <w:rFonts w:ascii="Times New Roman" w:eastAsia="Calibri" w:hAnsi="Times New Roman"/>
        </w:rPr>
      </w:pPr>
      <w:r w:rsidRPr="00347267">
        <w:rPr>
          <w:rFonts w:ascii="Times New Roman" w:eastAsia="Calibri" w:hAnsi="Times New Roman"/>
        </w:rPr>
        <w:t>2101 Arena Boulevard</w:t>
      </w:r>
    </w:p>
    <w:p w14:paraId="4800D0E3" w14:textId="77777777" w:rsidR="00922A83" w:rsidRDefault="00922A83" w:rsidP="00922A83">
      <w:pPr>
        <w:jc w:val="both"/>
        <w:rPr>
          <w:rFonts w:ascii="Times New Roman" w:eastAsia="Calibri" w:hAnsi="Times New Roman"/>
        </w:rPr>
      </w:pPr>
      <w:r w:rsidRPr="00347267">
        <w:rPr>
          <w:rFonts w:ascii="Times New Roman" w:eastAsia="Calibri" w:hAnsi="Times New Roman"/>
        </w:rPr>
        <w:t>Sacramento, CA 95834</w:t>
      </w:r>
    </w:p>
    <w:p w14:paraId="625A6EAD" w14:textId="77777777" w:rsidR="00922A83" w:rsidRDefault="00922A83" w:rsidP="00922A83">
      <w:pPr>
        <w:jc w:val="both"/>
        <w:rPr>
          <w:rFonts w:ascii="Times New Roman" w:eastAsia="Calibri" w:hAnsi="Times New Roman"/>
        </w:rPr>
      </w:pPr>
    </w:p>
    <w:p w14:paraId="4254D75D" w14:textId="77777777" w:rsidR="00922A83" w:rsidRDefault="00922A83" w:rsidP="00922A83">
      <w:pPr>
        <w:jc w:val="both"/>
        <w:rPr>
          <w:rFonts w:ascii="Times New Roman" w:eastAsia="Calibri" w:hAnsi="Times New Roman"/>
        </w:rPr>
      </w:pPr>
      <w:r>
        <w:rPr>
          <w:rFonts w:ascii="Times New Roman" w:eastAsia="Calibri" w:hAnsi="Times New Roman"/>
        </w:rPr>
        <w:t xml:space="preserve">Dear Acting Commissioner Shultz, </w:t>
      </w:r>
    </w:p>
    <w:p w14:paraId="4BD6CF92" w14:textId="77777777" w:rsidR="00922A83" w:rsidRDefault="00922A83" w:rsidP="00922A83">
      <w:pPr>
        <w:jc w:val="both"/>
        <w:rPr>
          <w:rFonts w:ascii="Times New Roman" w:eastAsia="Calibri" w:hAnsi="Times New Roman"/>
        </w:rPr>
      </w:pPr>
    </w:p>
    <w:p w14:paraId="0AE5E424" w14:textId="65651BBD" w:rsidR="00922A83" w:rsidRPr="00347267" w:rsidRDefault="00922A83" w:rsidP="00922A83">
      <w:pPr>
        <w:jc w:val="both"/>
        <w:rPr>
          <w:rFonts w:ascii="Times New Roman" w:eastAsia="Calibri" w:hAnsi="Times New Roman"/>
        </w:rPr>
      </w:pPr>
      <w:r w:rsidRPr="00347267">
        <w:rPr>
          <w:rFonts w:ascii="Times New Roman" w:eastAsia="Calibri" w:hAnsi="Times New Roman"/>
        </w:rPr>
        <w:t>The Innovative Payments Association (“IPA”)</w:t>
      </w:r>
      <w:r>
        <w:rPr>
          <w:rStyle w:val="FootnoteReference"/>
          <w:rFonts w:ascii="Times New Roman" w:eastAsia="Calibri" w:hAnsi="Times New Roman"/>
        </w:rPr>
        <w:footnoteReference w:id="1"/>
      </w:r>
      <w:r>
        <w:rPr>
          <w:rFonts w:ascii="Times New Roman" w:eastAsia="Calibri" w:hAnsi="Times New Roman"/>
        </w:rPr>
        <w:t xml:space="preserve"> is writing today to begin a dialogue with the California Department of </w:t>
      </w:r>
      <w:r w:rsidRPr="00347267">
        <w:rPr>
          <w:rFonts w:ascii="Times New Roman" w:eastAsia="Calibri" w:hAnsi="Times New Roman"/>
        </w:rPr>
        <w:t>Financial Protection and Innovation</w:t>
      </w:r>
      <w:r>
        <w:rPr>
          <w:rFonts w:ascii="Times New Roman" w:eastAsia="Calibri" w:hAnsi="Times New Roman"/>
        </w:rPr>
        <w:t xml:space="preserve"> (DFPI) around the Earned Wage Access (EWA) industry. </w:t>
      </w:r>
      <w:r w:rsidR="00C245BC">
        <w:rPr>
          <w:rFonts w:ascii="Times New Roman" w:eastAsia="Calibri" w:hAnsi="Times New Roman"/>
        </w:rPr>
        <w:t xml:space="preserve">The </w:t>
      </w:r>
      <w:r w:rsidRPr="00267460">
        <w:rPr>
          <w:rFonts w:ascii="Times New Roman" w:eastAsia="Calibri" w:hAnsi="Times New Roman"/>
        </w:rPr>
        <w:t xml:space="preserve">IPA </w:t>
      </w:r>
      <w:r w:rsidR="00C245BC">
        <w:rPr>
          <w:rFonts w:ascii="Times New Roman" w:eastAsia="Calibri" w:hAnsi="Times New Roman"/>
        </w:rPr>
        <w:t>counts a number of EWA providers among ou</w:t>
      </w:r>
      <w:r w:rsidR="00F31C22">
        <w:rPr>
          <w:rFonts w:ascii="Times New Roman" w:eastAsia="Calibri" w:hAnsi="Times New Roman"/>
        </w:rPr>
        <w:t>r</w:t>
      </w:r>
      <w:r w:rsidR="00C245BC">
        <w:rPr>
          <w:rFonts w:ascii="Times New Roman" w:eastAsia="Calibri" w:hAnsi="Times New Roman"/>
        </w:rPr>
        <w:t xml:space="preserve"> members, so we </w:t>
      </w:r>
      <w:r>
        <w:rPr>
          <w:rFonts w:ascii="Times New Roman" w:eastAsia="Calibri" w:hAnsi="Times New Roman"/>
        </w:rPr>
        <w:t>appreciate the opportunity to provide an overview of the industry as it stands today and discuss principles for regulation</w:t>
      </w:r>
      <w:r w:rsidR="00F31C22">
        <w:rPr>
          <w:rFonts w:ascii="Times New Roman" w:eastAsia="Calibri" w:hAnsi="Times New Roman"/>
        </w:rPr>
        <w:t xml:space="preserve"> going forward</w:t>
      </w:r>
      <w:r>
        <w:rPr>
          <w:rFonts w:ascii="Times New Roman" w:eastAsia="Calibri" w:hAnsi="Times New Roman"/>
        </w:rPr>
        <w:t xml:space="preserve"> that we believe would appropriately balance consumer protection and innovation. </w:t>
      </w:r>
    </w:p>
    <w:p w14:paraId="306DF339" w14:textId="77777777" w:rsidR="00922A83" w:rsidRPr="00347267" w:rsidRDefault="00922A83" w:rsidP="00922A83">
      <w:pPr>
        <w:jc w:val="both"/>
        <w:rPr>
          <w:rFonts w:ascii="Times New Roman" w:eastAsia="Calibri" w:hAnsi="Times New Roman"/>
          <w:color w:val="000000"/>
        </w:rPr>
      </w:pPr>
    </w:p>
    <w:p w14:paraId="0518A9C0" w14:textId="77777777" w:rsidR="00922A83" w:rsidRPr="00347267" w:rsidRDefault="00922A83" w:rsidP="00922A83">
      <w:pPr>
        <w:jc w:val="both"/>
        <w:rPr>
          <w:rFonts w:ascii="Times New Roman" w:eastAsia="Calibri" w:hAnsi="Times New Roman"/>
          <w:color w:val="000000"/>
        </w:rPr>
      </w:pPr>
      <w:r w:rsidRPr="00347267">
        <w:rPr>
          <w:rFonts w:ascii="Times New Roman" w:eastAsia="Calibri" w:hAnsi="Times New Roman"/>
          <w:color w:val="000000"/>
        </w:rPr>
        <w:t>Millions of American workers must often borrow to manage financial pressures before their next wage payment arrives.  Situations such as this can be exasperated when unforeseen circumstances (such as a global pandemic) arise and have a direct impact on an individual’s financial health. In 2018 the Federal Reserve released a </w:t>
      </w:r>
      <w:hyperlink r:id="rId8" w:tgtFrame="_blank" w:history="1">
        <w:r w:rsidRPr="00347267">
          <w:rPr>
            <w:rStyle w:val="Hyperlink"/>
            <w:rFonts w:ascii="Times New Roman" w:eastAsia="Calibri" w:hAnsi="Times New Roman"/>
          </w:rPr>
          <w:t>2018 Survey of Household Economics and Decision Making</w:t>
        </w:r>
      </w:hyperlink>
      <w:r w:rsidRPr="00347267">
        <w:rPr>
          <w:rFonts w:ascii="Times New Roman" w:eastAsia="Calibri" w:hAnsi="Times New Roman"/>
          <w:color w:val="000000"/>
        </w:rPr>
        <w:t xml:space="preserve">, in which some 12,000 households were asked about their finances and the most notable highlight of the report is the fact that 40% of Americans would struggle to come up with $400 to pay for an unexpected bill.  </w:t>
      </w:r>
    </w:p>
    <w:p w14:paraId="1E34EEA3" w14:textId="77777777" w:rsidR="00922A83" w:rsidRPr="00347267" w:rsidRDefault="00922A83" w:rsidP="00922A83">
      <w:pPr>
        <w:jc w:val="both"/>
        <w:rPr>
          <w:rFonts w:ascii="Times New Roman" w:eastAsia="Calibri" w:hAnsi="Times New Roman"/>
          <w:color w:val="000000"/>
        </w:rPr>
      </w:pPr>
    </w:p>
    <w:p w14:paraId="6FB3AC6B" w14:textId="77777777" w:rsidR="00922A83" w:rsidRDefault="00922A83" w:rsidP="00922A83">
      <w:pPr>
        <w:jc w:val="both"/>
        <w:rPr>
          <w:rFonts w:ascii="Times New Roman" w:eastAsia="Calibri" w:hAnsi="Times New Roman"/>
          <w:color w:val="000000"/>
        </w:rPr>
      </w:pPr>
      <w:r w:rsidRPr="00347267">
        <w:rPr>
          <w:rFonts w:ascii="Times New Roman" w:eastAsia="Calibri" w:hAnsi="Times New Roman"/>
          <w:color w:val="000000"/>
        </w:rPr>
        <w:t xml:space="preserve">According to the </w:t>
      </w:r>
      <w:hyperlink r:id="rId9" w:history="1">
        <w:r w:rsidRPr="00347267">
          <w:rPr>
            <w:rStyle w:val="Hyperlink"/>
            <w:rFonts w:ascii="Times New Roman" w:eastAsia="Calibri" w:hAnsi="Times New Roman"/>
          </w:rPr>
          <w:t>Bureau of Labor Statistics</w:t>
        </w:r>
      </w:hyperlink>
      <w:r w:rsidRPr="00347267">
        <w:rPr>
          <w:rFonts w:ascii="Times New Roman" w:eastAsia="Calibri" w:hAnsi="Times New Roman"/>
          <w:color w:val="000000"/>
        </w:rPr>
        <w:t xml:space="preserve">, nearly two-thirds of U.S. private businesses use biweekly, semimonthly, or monthly pay periods.  A study by the </w:t>
      </w:r>
      <w:hyperlink r:id="rId10" w:history="1">
        <w:r w:rsidRPr="00347267">
          <w:rPr>
            <w:rStyle w:val="Hyperlink"/>
            <w:rFonts w:ascii="Times New Roman" w:eastAsia="Calibri" w:hAnsi="Times New Roman"/>
          </w:rPr>
          <w:t>Financial Health Network</w:t>
        </w:r>
      </w:hyperlink>
      <w:r w:rsidRPr="00347267">
        <w:rPr>
          <w:rFonts w:ascii="Times New Roman" w:eastAsia="Calibri" w:hAnsi="Times New Roman"/>
          <w:color w:val="000000"/>
        </w:rPr>
        <w:t xml:space="preserve"> found that 38 percent of respondents cited timing mismatches between income and expenses as a reason for using short-term, small-dollar credit.  According to the Consumer Financial Protection Bureau (CFPB) there are several obstacles which prevent businesses from easily implementing shorter pay cycles for their employees, including, but not limited to, cash flow limitations on businesses that depend on incoming payments and receivables, which subsequently need to be processed and deposited</w:t>
      </w:r>
      <w:r>
        <w:rPr>
          <w:rFonts w:ascii="Times New Roman" w:eastAsia="Calibri" w:hAnsi="Times New Roman"/>
          <w:color w:val="000000"/>
        </w:rPr>
        <w:t xml:space="preserve">. </w:t>
      </w:r>
      <w:r w:rsidRPr="00347267">
        <w:rPr>
          <w:rStyle w:val="FootnoteReference"/>
          <w:rFonts w:ascii="Times New Roman" w:eastAsia="Calibri" w:hAnsi="Times New Roman"/>
          <w:color w:val="000000"/>
        </w:rPr>
        <w:footnoteReference w:id="2"/>
      </w:r>
    </w:p>
    <w:p w14:paraId="5AEA7078" w14:textId="77777777" w:rsidR="00922A83" w:rsidRDefault="00922A83" w:rsidP="00922A83">
      <w:pPr>
        <w:jc w:val="both"/>
        <w:rPr>
          <w:rFonts w:ascii="Times New Roman" w:eastAsia="Calibri" w:hAnsi="Times New Roman"/>
          <w:color w:val="000000"/>
        </w:rPr>
      </w:pPr>
    </w:p>
    <w:p w14:paraId="6EE97F23" w14:textId="77777777" w:rsidR="00922A83" w:rsidRDefault="00922A83" w:rsidP="00922A83">
      <w:pPr>
        <w:jc w:val="both"/>
        <w:rPr>
          <w:rFonts w:ascii="Times New Roman" w:eastAsia="Calibri" w:hAnsi="Times New Roman"/>
          <w:color w:val="000000"/>
        </w:rPr>
        <w:sectPr w:rsidR="00922A83" w:rsidSect="00347267">
          <w:headerReference w:type="default" r:id="rId11"/>
          <w:type w:val="continuous"/>
          <w:pgSz w:w="12240" w:h="15840"/>
          <w:pgMar w:top="1440" w:right="1440" w:bottom="1440" w:left="1440" w:header="720" w:footer="720" w:gutter="0"/>
          <w:cols w:space="720"/>
          <w:docGrid w:linePitch="360"/>
        </w:sectPr>
      </w:pPr>
    </w:p>
    <w:p w14:paraId="0EBF4FDD" w14:textId="77777777" w:rsidR="00922A83" w:rsidRPr="00347267" w:rsidRDefault="00922A83" w:rsidP="00922A83">
      <w:pPr>
        <w:jc w:val="both"/>
        <w:rPr>
          <w:rFonts w:ascii="Times New Roman" w:eastAsia="Calibri" w:hAnsi="Times New Roman"/>
          <w:color w:val="000000"/>
        </w:rPr>
      </w:pPr>
      <w:r w:rsidRPr="00347267">
        <w:rPr>
          <w:rFonts w:ascii="Times New Roman" w:eastAsia="Calibri" w:hAnsi="Times New Roman"/>
          <w:color w:val="000000"/>
        </w:rPr>
        <w:lastRenderedPageBreak/>
        <w:t xml:space="preserve">Earned Wage Access products have recently emerged in the marketplace as a new option for employees to meet short-term liquidity needs that arise between paychecks without turning to more costly alternatives like traditional payday loans. </w:t>
      </w:r>
    </w:p>
    <w:p w14:paraId="5C67855C" w14:textId="77777777" w:rsidR="00922A83" w:rsidRPr="00347267" w:rsidRDefault="00922A83" w:rsidP="00922A83">
      <w:pPr>
        <w:jc w:val="both"/>
        <w:rPr>
          <w:rFonts w:ascii="Times New Roman" w:eastAsia="Calibri" w:hAnsi="Times New Roman"/>
          <w:color w:val="000000"/>
        </w:rPr>
      </w:pPr>
    </w:p>
    <w:p w14:paraId="0A73FD7B" w14:textId="77777777" w:rsidR="00922A83" w:rsidRPr="00347267" w:rsidRDefault="00922A83" w:rsidP="00922A83">
      <w:pPr>
        <w:jc w:val="both"/>
        <w:rPr>
          <w:rFonts w:ascii="Times New Roman" w:eastAsia="Calibri" w:hAnsi="Times New Roman"/>
          <w:color w:val="000000"/>
        </w:rPr>
      </w:pPr>
      <w:r w:rsidRPr="00347267">
        <w:rPr>
          <w:rFonts w:ascii="Times New Roman" w:eastAsia="Calibri" w:hAnsi="Times New Roman"/>
          <w:color w:val="000000"/>
        </w:rPr>
        <w:t xml:space="preserve">EWA products seek to address the gap between consumers’ hours worked and receipt of their paychecks by facilitating advance access to </w:t>
      </w:r>
      <w:r w:rsidRPr="00267460">
        <w:rPr>
          <w:rFonts w:ascii="Times New Roman" w:eastAsia="Calibri" w:hAnsi="Times New Roman"/>
          <w:b/>
          <w:bCs/>
          <w:i/>
          <w:iCs/>
          <w:u w:val="single"/>
        </w:rPr>
        <w:t>earned</w:t>
      </w:r>
      <w:r w:rsidRPr="00267460">
        <w:rPr>
          <w:rFonts w:ascii="Times New Roman" w:eastAsia="Calibri" w:hAnsi="Times New Roman"/>
        </w:rPr>
        <w:t xml:space="preserve"> </w:t>
      </w:r>
      <w:r w:rsidRPr="00347267">
        <w:rPr>
          <w:rFonts w:ascii="Times New Roman" w:eastAsia="Calibri" w:hAnsi="Times New Roman"/>
          <w:color w:val="000000"/>
        </w:rPr>
        <w:t xml:space="preserve">but </w:t>
      </w:r>
      <w:proofErr w:type="gramStart"/>
      <w:r w:rsidRPr="00347267">
        <w:rPr>
          <w:rFonts w:ascii="Times New Roman" w:eastAsia="Calibri" w:hAnsi="Times New Roman"/>
          <w:color w:val="000000"/>
        </w:rPr>
        <w:t>as yet</w:t>
      </w:r>
      <w:proofErr w:type="gramEnd"/>
      <w:r w:rsidRPr="00347267">
        <w:rPr>
          <w:rFonts w:ascii="Times New Roman" w:eastAsia="Calibri" w:hAnsi="Times New Roman"/>
          <w:color w:val="000000"/>
        </w:rPr>
        <w:t xml:space="preserve"> unpaid wages. At present EWA providers have developed a variety of business models and solutions to try to shorten the gap described above. Generally, these programs involve an EWA provider enabling employees to request a certain amount (or share) of accrued wages, disbursing the requested amounts to the employee(s) prior to the business’ payday.  </w:t>
      </w:r>
    </w:p>
    <w:p w14:paraId="1ED0101B" w14:textId="77777777" w:rsidR="00922A83" w:rsidRPr="00347267" w:rsidRDefault="00922A83" w:rsidP="00922A83">
      <w:pPr>
        <w:jc w:val="both"/>
        <w:rPr>
          <w:rFonts w:ascii="Times New Roman" w:eastAsia="Calibri" w:hAnsi="Times New Roman"/>
          <w:color w:val="000000"/>
        </w:rPr>
      </w:pPr>
    </w:p>
    <w:p w14:paraId="2F06AD08" w14:textId="550E103A" w:rsidR="00922A83" w:rsidRPr="00347267" w:rsidRDefault="00922A83" w:rsidP="00922A83">
      <w:pPr>
        <w:jc w:val="both"/>
        <w:rPr>
          <w:rFonts w:ascii="Times New Roman" w:eastAsia="Calibri" w:hAnsi="Times New Roman"/>
          <w:color w:val="000000"/>
        </w:rPr>
      </w:pPr>
      <w:r w:rsidRPr="00347267">
        <w:rPr>
          <w:rFonts w:ascii="Times New Roman" w:eastAsia="Calibri" w:hAnsi="Times New Roman"/>
          <w:color w:val="000000"/>
        </w:rPr>
        <w:t xml:space="preserve">Accordingly, when financial stress occurs, there are not always readily available options for many American consumers.  And the options that are available can be costly.  For example, according to the Financial Health Network’s April 2021 </w:t>
      </w:r>
      <w:hyperlink r:id="rId12" w:history="1">
        <w:r w:rsidRPr="00347267">
          <w:rPr>
            <w:rStyle w:val="Hyperlink"/>
            <w:rFonts w:ascii="Times New Roman" w:eastAsia="Calibri" w:hAnsi="Times New Roman"/>
          </w:rPr>
          <w:t>report</w:t>
        </w:r>
      </w:hyperlink>
      <w:r w:rsidRPr="00347267">
        <w:rPr>
          <w:rFonts w:ascii="Times New Roman" w:eastAsia="Calibri" w:hAnsi="Times New Roman"/>
          <w:color w:val="000000"/>
        </w:rPr>
        <w:t xml:space="preserve"> on EWA</w:t>
      </w:r>
      <w:r w:rsidR="00153BB2">
        <w:rPr>
          <w:rFonts w:ascii="Times New Roman" w:eastAsia="Calibri" w:hAnsi="Times New Roman"/>
          <w:color w:val="000000"/>
        </w:rPr>
        <w:t>,</w:t>
      </w:r>
      <w:r w:rsidRPr="00347267">
        <w:rPr>
          <w:rFonts w:ascii="Times New Roman" w:eastAsia="Calibri" w:hAnsi="Times New Roman"/>
          <w:color w:val="000000"/>
        </w:rPr>
        <w:t xml:space="preserve"> many consumers in financial distress typically utilize one of three options: Overdraft (avg. fee: $35), Title/Payday Loans (fees range: $15-100), or Pawn Loans (fee range: $75-$100).  Alternatively, </w:t>
      </w:r>
      <w:r w:rsidR="00153BB2">
        <w:rPr>
          <w:rFonts w:ascii="Times New Roman" w:eastAsia="Calibri" w:hAnsi="Times New Roman"/>
          <w:color w:val="000000"/>
        </w:rPr>
        <w:t>according to</w:t>
      </w:r>
      <w:r w:rsidR="00153BB2" w:rsidRPr="00347267">
        <w:rPr>
          <w:rFonts w:ascii="Times New Roman" w:eastAsia="Calibri" w:hAnsi="Times New Roman"/>
          <w:color w:val="000000"/>
        </w:rPr>
        <w:t xml:space="preserve"> </w:t>
      </w:r>
      <w:r w:rsidRPr="00347267">
        <w:rPr>
          <w:rFonts w:ascii="Times New Roman" w:eastAsia="Calibri" w:hAnsi="Times New Roman"/>
          <w:color w:val="000000"/>
        </w:rPr>
        <w:t xml:space="preserve">the same study, the average amount an EWA consumer paid per advance was $2.59-$6.27.  </w:t>
      </w:r>
    </w:p>
    <w:p w14:paraId="2E28E1DA" w14:textId="77777777" w:rsidR="00922A83" w:rsidRPr="00347267" w:rsidRDefault="00922A83" w:rsidP="00922A83">
      <w:pPr>
        <w:jc w:val="both"/>
        <w:rPr>
          <w:rFonts w:ascii="Times New Roman" w:eastAsia="Calibri" w:hAnsi="Times New Roman"/>
          <w:color w:val="000000"/>
        </w:rPr>
      </w:pPr>
    </w:p>
    <w:p w14:paraId="716D28C8" w14:textId="77777777" w:rsidR="00922A83" w:rsidRPr="00347267" w:rsidRDefault="00922A83" w:rsidP="00922A83">
      <w:pPr>
        <w:jc w:val="both"/>
        <w:rPr>
          <w:rFonts w:ascii="Times New Roman" w:hAnsi="Times New Roman"/>
          <w:color w:val="292929"/>
          <w:spacing w:val="3"/>
          <w:shd w:val="clear" w:color="auto" w:fill="FFFFFF"/>
        </w:rPr>
      </w:pPr>
      <w:r w:rsidRPr="00347267">
        <w:rPr>
          <w:rFonts w:ascii="Times New Roman" w:eastAsia="Calibri" w:hAnsi="Times New Roman"/>
          <w:color w:val="000000"/>
        </w:rPr>
        <w:t xml:space="preserve">It is critically important to understand that EWA and payday loans are not remotely similar, and in fact, have nothing in common. Any attempts to equate the two have no merit. </w:t>
      </w:r>
      <w:r w:rsidRPr="00347267">
        <w:rPr>
          <w:rFonts w:ascii="Times New Roman" w:hAnsi="Times New Roman"/>
          <w:color w:val="292929"/>
          <w:spacing w:val="3"/>
          <w:shd w:val="clear" w:color="auto" w:fill="FFFFFF"/>
        </w:rPr>
        <w:t xml:space="preserve">In brief, </w:t>
      </w:r>
      <w:r w:rsidRPr="00267460">
        <w:rPr>
          <w:rFonts w:ascii="Times New Roman" w:hAnsi="Times New Roman"/>
          <w:b/>
          <w:bCs/>
          <w:spacing w:val="3"/>
          <w:shd w:val="clear" w:color="auto" w:fill="FFFFFF"/>
        </w:rPr>
        <w:t>payday loans are loans</w:t>
      </w:r>
      <w:r w:rsidRPr="00347267">
        <w:rPr>
          <w:rFonts w:ascii="Times New Roman" w:hAnsi="Times New Roman"/>
          <w:color w:val="292929"/>
          <w:spacing w:val="3"/>
          <w:shd w:val="clear" w:color="auto" w:fill="FFFFFF"/>
        </w:rPr>
        <w:t xml:space="preserve">.  More specifically, payday loans allow you to borrow now against your potential next paycheck to meet your financial needs today. EWA is money that has already been </w:t>
      </w:r>
      <w:r w:rsidRPr="00347267">
        <w:rPr>
          <w:rFonts w:ascii="Times New Roman" w:hAnsi="Times New Roman"/>
          <w:b/>
          <w:bCs/>
          <w:color w:val="292929"/>
          <w:spacing w:val="3"/>
          <w:u w:val="single"/>
          <w:shd w:val="clear" w:color="auto" w:fill="FFFFFF"/>
        </w:rPr>
        <w:t>earned by work that has already been performed</w:t>
      </w:r>
      <w:r w:rsidRPr="00347267">
        <w:rPr>
          <w:rFonts w:ascii="Times New Roman" w:hAnsi="Times New Roman"/>
          <w:color w:val="292929"/>
          <w:spacing w:val="3"/>
          <w:shd w:val="clear" w:color="auto" w:fill="FFFFFF"/>
        </w:rPr>
        <w:t xml:space="preserve">.  </w:t>
      </w:r>
      <w:r w:rsidRPr="00347267">
        <w:rPr>
          <w:rFonts w:ascii="Times New Roman" w:eastAsia="Calibri" w:hAnsi="Times New Roman"/>
          <w:color w:val="000000"/>
        </w:rPr>
        <w:t>The appropriate legal analysis regarding the regulatory classification of the service hinges on whether or not the pay is earned. If funds provided represent net take-home pay, much like accessing equity in your insurance policy, the transaction is not credit. After all, you earn money as you perform work, not when you are paid. Similarly, in situations where an employee quits or is fired mid-pay cycle, that individual is entitled to his/her earned pay. This is undisputed, and in fact, some states mandate that in these situations the person in question must be paid her net wage balance immediately.</w:t>
      </w:r>
      <w:r w:rsidRPr="00347267">
        <w:rPr>
          <w:rStyle w:val="FootnoteReference"/>
          <w:rFonts w:ascii="Times New Roman" w:eastAsia="Calibri" w:hAnsi="Times New Roman"/>
          <w:color w:val="000000"/>
        </w:rPr>
        <w:footnoteReference w:id="3"/>
      </w:r>
    </w:p>
    <w:p w14:paraId="03C27087" w14:textId="77777777" w:rsidR="00922A83" w:rsidRPr="00347267" w:rsidRDefault="00922A83" w:rsidP="00922A83">
      <w:pPr>
        <w:jc w:val="both"/>
        <w:rPr>
          <w:rFonts w:ascii="Times New Roman" w:hAnsi="Times New Roman"/>
          <w:color w:val="292929"/>
          <w:spacing w:val="3"/>
          <w:shd w:val="clear" w:color="auto" w:fill="FFFFFF"/>
        </w:rPr>
      </w:pPr>
    </w:p>
    <w:p w14:paraId="5563A5DC" w14:textId="3BDACDE6" w:rsidR="00922A83" w:rsidRPr="00347267" w:rsidRDefault="00922A83" w:rsidP="00922A83">
      <w:pPr>
        <w:jc w:val="both"/>
        <w:rPr>
          <w:rFonts w:ascii="Times New Roman" w:eastAsia="Calibri" w:hAnsi="Times New Roman"/>
          <w:color w:val="000000"/>
        </w:rPr>
      </w:pPr>
      <w:r w:rsidRPr="00347267">
        <w:rPr>
          <w:rFonts w:ascii="Times New Roman" w:hAnsi="Times New Roman"/>
          <w:color w:val="292929"/>
          <w:spacing w:val="3"/>
          <w:shd w:val="clear" w:color="auto" w:fill="FFFFFF"/>
        </w:rPr>
        <w:t>In November 2020, i</w:t>
      </w:r>
      <w:r w:rsidRPr="00347267">
        <w:rPr>
          <w:rFonts w:ascii="Times New Roman" w:eastAsia="Calibri" w:hAnsi="Times New Roman"/>
          <w:color w:val="000000"/>
        </w:rPr>
        <w:t xml:space="preserve">n an effort to provide additional clarity to the EWA sector and consumers, the CFPB issued an Advisory Opinions Policy to resolve regulatory uncertainty regarding the application of Regulation Z (credit) to particular type of EWA programs. In summary, the CFPB clearly stated that “Covered EWA Programs” are ones in which:  </w:t>
      </w:r>
    </w:p>
    <w:p w14:paraId="6ADED950" w14:textId="77777777" w:rsidR="00922A83" w:rsidRPr="00347267" w:rsidRDefault="00922A83" w:rsidP="00922A83">
      <w:pPr>
        <w:jc w:val="both"/>
        <w:rPr>
          <w:rFonts w:ascii="Times New Roman" w:eastAsia="Calibri" w:hAnsi="Times New Roman"/>
          <w:color w:val="000000"/>
        </w:rPr>
      </w:pPr>
    </w:p>
    <w:p w14:paraId="0243BD97" w14:textId="77777777" w:rsidR="00922A83" w:rsidRPr="00347267" w:rsidRDefault="00922A83" w:rsidP="00922A83">
      <w:pPr>
        <w:pStyle w:val="ListParagraph"/>
        <w:numPr>
          <w:ilvl w:val="0"/>
          <w:numId w:val="2"/>
        </w:numPr>
        <w:jc w:val="both"/>
        <w:rPr>
          <w:rFonts w:ascii="Times New Roman" w:eastAsia="Calibri" w:hAnsi="Times New Roman" w:cs="Times New Roman"/>
          <w:color w:val="000000"/>
        </w:rPr>
      </w:pPr>
      <w:r w:rsidRPr="00347267">
        <w:rPr>
          <w:rFonts w:ascii="Times New Roman" w:eastAsia="Calibri" w:hAnsi="Times New Roman" w:cs="Times New Roman"/>
          <w:color w:val="000000"/>
        </w:rPr>
        <w:t xml:space="preserve">The provider of the Covered EWA Program (Provider) contracts with employers for the benefit of their employees; </w:t>
      </w:r>
    </w:p>
    <w:p w14:paraId="7BCCF024" w14:textId="77777777" w:rsidR="00922A83" w:rsidRPr="00347267" w:rsidRDefault="00922A83" w:rsidP="00922A83">
      <w:pPr>
        <w:pStyle w:val="ListParagraph"/>
        <w:numPr>
          <w:ilvl w:val="0"/>
          <w:numId w:val="2"/>
        </w:numPr>
        <w:jc w:val="both"/>
        <w:rPr>
          <w:rFonts w:ascii="Times New Roman" w:eastAsia="Calibri" w:hAnsi="Times New Roman" w:cs="Times New Roman"/>
          <w:color w:val="000000"/>
        </w:rPr>
      </w:pPr>
      <w:r w:rsidRPr="00347267">
        <w:rPr>
          <w:rFonts w:ascii="Times New Roman" w:eastAsia="Calibri" w:hAnsi="Times New Roman" w:cs="Times New Roman"/>
          <w:color w:val="000000"/>
        </w:rPr>
        <w:t xml:space="preserve">The amount of the transaction does not exceed the accrued cash value of the wages the employee has earned up to the date and time of the transaction, and the wages in question are wages that the employee is entitled to receive under State law; </w:t>
      </w:r>
    </w:p>
    <w:p w14:paraId="00258E52" w14:textId="77777777" w:rsidR="00922A83" w:rsidRPr="00347267" w:rsidRDefault="00922A83" w:rsidP="00922A83">
      <w:pPr>
        <w:pStyle w:val="ListParagraph"/>
        <w:numPr>
          <w:ilvl w:val="0"/>
          <w:numId w:val="2"/>
        </w:numPr>
        <w:jc w:val="both"/>
        <w:rPr>
          <w:rFonts w:ascii="Times New Roman" w:eastAsia="Calibri" w:hAnsi="Times New Roman" w:cs="Times New Roman"/>
          <w:color w:val="000000"/>
        </w:rPr>
      </w:pPr>
      <w:r w:rsidRPr="00347267">
        <w:rPr>
          <w:rFonts w:ascii="Times New Roman" w:eastAsia="Calibri" w:hAnsi="Times New Roman" w:cs="Times New Roman"/>
          <w:color w:val="000000"/>
        </w:rPr>
        <w:lastRenderedPageBreak/>
        <w:t>The employee makes no payment, voluntary or otherwise, to access EWA funds or otherwise use the Covered EWA Program;</w:t>
      </w:r>
    </w:p>
    <w:p w14:paraId="3BD17FEF" w14:textId="5419D2C9" w:rsidR="00922A83" w:rsidRPr="00347267" w:rsidRDefault="00922A83" w:rsidP="00922A83">
      <w:pPr>
        <w:pStyle w:val="ListParagraph"/>
        <w:numPr>
          <w:ilvl w:val="0"/>
          <w:numId w:val="2"/>
        </w:numPr>
        <w:jc w:val="both"/>
        <w:rPr>
          <w:rFonts w:ascii="Times New Roman" w:eastAsia="Calibri" w:hAnsi="Times New Roman" w:cs="Times New Roman"/>
          <w:color w:val="000000"/>
        </w:rPr>
      </w:pPr>
      <w:r w:rsidRPr="00347267">
        <w:rPr>
          <w:rFonts w:ascii="Times New Roman" w:eastAsia="Calibri" w:hAnsi="Times New Roman" w:cs="Times New Roman"/>
          <w:color w:val="000000"/>
        </w:rPr>
        <w:t xml:space="preserve">In situations where an employer provides EWA access via a Prepaid Account, the EWA provider cannot charge fees for opening up the account on behalf of the </w:t>
      </w:r>
      <w:proofErr w:type="gramStart"/>
      <w:r w:rsidRPr="00347267">
        <w:rPr>
          <w:rFonts w:ascii="Times New Roman" w:eastAsia="Calibri" w:hAnsi="Times New Roman" w:cs="Times New Roman"/>
          <w:color w:val="000000"/>
        </w:rPr>
        <w:t>employee;</w:t>
      </w:r>
      <w:proofErr w:type="gramEnd"/>
    </w:p>
    <w:p w14:paraId="6F25CABD" w14:textId="77777777" w:rsidR="00922A83" w:rsidRPr="00347267" w:rsidRDefault="00922A83" w:rsidP="00922A83">
      <w:pPr>
        <w:pStyle w:val="ListParagraph"/>
        <w:numPr>
          <w:ilvl w:val="0"/>
          <w:numId w:val="2"/>
        </w:numPr>
        <w:jc w:val="both"/>
        <w:rPr>
          <w:rFonts w:ascii="Times New Roman" w:hAnsi="Times New Roman" w:cs="Times New Roman"/>
          <w:color w:val="292929"/>
          <w:spacing w:val="3"/>
          <w:shd w:val="clear" w:color="auto" w:fill="FFFFFF"/>
        </w:rPr>
      </w:pPr>
      <w:r w:rsidRPr="00347267">
        <w:rPr>
          <w:rFonts w:ascii="Times New Roman" w:eastAsia="Calibri" w:hAnsi="Times New Roman" w:cs="Times New Roman"/>
          <w:color w:val="000000"/>
        </w:rPr>
        <w:t>The EWA provider can only recover the amount of each Covered EWA Transaction only through an employer-facilitated payroll deduction from the employee’s next paycheck</w:t>
      </w:r>
      <w:r w:rsidRPr="00347267">
        <w:t xml:space="preserve"> </w:t>
      </w:r>
      <w:r w:rsidRPr="00347267">
        <w:rPr>
          <w:rFonts w:ascii="Times New Roman" w:eastAsia="Calibri" w:hAnsi="Times New Roman" w:cs="Times New Roman"/>
          <w:color w:val="000000"/>
        </w:rPr>
        <w:t>In the event of a failed or partial payroll deduction, the Provider retains no legal or contractual claim or remedy, direct or indirect, against the employee, although the Provider may choose to refrain from offering the employee additional EWA transactions</w:t>
      </w:r>
    </w:p>
    <w:p w14:paraId="17DFB7DD" w14:textId="77777777" w:rsidR="00922A83" w:rsidRPr="00347267" w:rsidRDefault="00922A83" w:rsidP="00922A83">
      <w:pPr>
        <w:jc w:val="both"/>
        <w:rPr>
          <w:rFonts w:ascii="Times New Roman" w:eastAsia="Calibri" w:hAnsi="Times New Roman"/>
          <w:color w:val="000000"/>
        </w:rPr>
      </w:pPr>
    </w:p>
    <w:p w14:paraId="7C9D4EDB" w14:textId="2F3C641E" w:rsidR="00922A83" w:rsidRPr="00347267" w:rsidRDefault="00922A83" w:rsidP="00922A83">
      <w:pPr>
        <w:rPr>
          <w:rFonts w:ascii="Times New Roman" w:hAnsi="Times New Roman"/>
        </w:rPr>
      </w:pPr>
      <w:r w:rsidRPr="00347267">
        <w:rPr>
          <w:rFonts w:ascii="Times New Roman" w:eastAsia="Calibri" w:hAnsi="Times New Roman"/>
          <w:color w:val="000000"/>
        </w:rPr>
        <w:t>The IPA believes that the protection of the consumer, or in this case wage earner</w:t>
      </w:r>
      <w:r w:rsidR="00153BB2">
        <w:rPr>
          <w:rFonts w:ascii="Times New Roman" w:eastAsia="Calibri" w:hAnsi="Times New Roman"/>
          <w:color w:val="000000"/>
        </w:rPr>
        <w:t>,</w:t>
      </w:r>
      <w:r w:rsidRPr="00347267">
        <w:rPr>
          <w:rFonts w:ascii="Times New Roman" w:eastAsia="Calibri" w:hAnsi="Times New Roman"/>
          <w:color w:val="000000"/>
        </w:rPr>
        <w:t xml:space="preserve"> is paramount.  Thus, we also support the CFPB’s Advisory Opinion Policy for EWA</w:t>
      </w:r>
      <w:r w:rsidRPr="00347267">
        <w:rPr>
          <w:rStyle w:val="FootnoteReference"/>
          <w:rFonts w:ascii="Times New Roman" w:eastAsia="Calibri" w:hAnsi="Times New Roman"/>
          <w:color w:val="000000"/>
        </w:rPr>
        <w:footnoteReference w:id="4"/>
      </w:r>
      <w:r w:rsidRPr="00347267">
        <w:rPr>
          <w:rFonts w:ascii="Times New Roman" w:eastAsia="Calibri" w:hAnsi="Times New Roman"/>
          <w:color w:val="000000"/>
        </w:rPr>
        <w:t xml:space="preserve"> and believe that it serves as a baseline for how EWA providers should conduct themselves when engaging with employers and their employees. </w:t>
      </w:r>
      <w:r w:rsidRPr="00347267">
        <w:rPr>
          <w:rFonts w:ascii="Times New Roman" w:hAnsi="Times New Roman"/>
        </w:rPr>
        <w:t>Numerous studies</w:t>
      </w:r>
      <w:r w:rsidRPr="00347267">
        <w:rPr>
          <w:rStyle w:val="FootnoteReference"/>
          <w:rFonts w:ascii="Times New Roman" w:hAnsi="Times New Roman"/>
        </w:rPr>
        <w:footnoteReference w:id="5"/>
      </w:r>
      <w:r w:rsidRPr="00347267">
        <w:rPr>
          <w:rFonts w:ascii="Times New Roman" w:hAnsi="Times New Roman"/>
        </w:rPr>
        <w:t xml:space="preserve"> have found that employees who have access to their earned income have more stability at work and are less likely to leave employment. EWA provides a benefit to employers in the form of reduced turnover (and a reduction in the costs associated with retention and recruitment) at little or no cost to the business. </w:t>
      </w:r>
    </w:p>
    <w:p w14:paraId="39E722E4" w14:textId="77777777" w:rsidR="00922A83" w:rsidRPr="00347267" w:rsidRDefault="00922A83" w:rsidP="00922A83">
      <w:pPr>
        <w:jc w:val="both"/>
        <w:rPr>
          <w:rFonts w:ascii="Times New Roman" w:eastAsia="Calibri" w:hAnsi="Times New Roman"/>
          <w:color w:val="000000"/>
        </w:rPr>
      </w:pPr>
    </w:p>
    <w:p w14:paraId="73325E11" w14:textId="7DB847E0" w:rsidR="00922A83" w:rsidRPr="00347267" w:rsidRDefault="00922A83" w:rsidP="00922A83">
      <w:pPr>
        <w:jc w:val="both"/>
        <w:rPr>
          <w:rFonts w:ascii="Times New Roman" w:eastAsia="Calibri" w:hAnsi="Times New Roman"/>
          <w:color w:val="000000"/>
        </w:rPr>
      </w:pPr>
      <w:r w:rsidRPr="00347267">
        <w:rPr>
          <w:rFonts w:ascii="Times New Roman" w:eastAsia="Calibri" w:hAnsi="Times New Roman"/>
          <w:color w:val="000000"/>
        </w:rPr>
        <w:t xml:space="preserve">Additionally, the IPA believes that it is critically important that every EWA Provider should comply with the respective wage and hour laws of the jurisdiction and state where they are providing products. Employers and employees should review and understand the details of any wage services they are providing to their employees or accepting as a benefit. Moreover, the IPA is steadfast that any product that is designed to mimic or function as a payday loan should not be permitted to be linked to a payroll product. Ultimately, workers should be able to determine for themselves how and when they decide to receive the wages or payments they have </w:t>
      </w:r>
      <w:r w:rsidRPr="00267460">
        <w:rPr>
          <w:rFonts w:ascii="Times New Roman" w:eastAsia="Calibri" w:hAnsi="Times New Roman"/>
          <w:b/>
          <w:bCs/>
          <w:i/>
          <w:iCs/>
          <w:u w:val="single"/>
        </w:rPr>
        <w:t>earned</w:t>
      </w:r>
      <w:r w:rsidRPr="00347267">
        <w:rPr>
          <w:rFonts w:ascii="Times New Roman" w:eastAsia="Calibri" w:hAnsi="Times New Roman"/>
          <w:color w:val="000000"/>
        </w:rPr>
        <w:t xml:space="preserve">.  </w:t>
      </w:r>
    </w:p>
    <w:p w14:paraId="6E4F98D3" w14:textId="77777777" w:rsidR="00922A83" w:rsidRPr="00347267" w:rsidRDefault="00922A83" w:rsidP="00922A83">
      <w:pPr>
        <w:rPr>
          <w:rFonts w:ascii="Times New Roman" w:hAnsi="Times New Roman"/>
        </w:rPr>
      </w:pPr>
    </w:p>
    <w:p w14:paraId="7EA6D128" w14:textId="4DD74576" w:rsidR="00922A83" w:rsidRDefault="00922A83" w:rsidP="00922A83">
      <w:pPr>
        <w:rPr>
          <w:rFonts w:ascii="Times New Roman" w:hAnsi="Times New Roman"/>
        </w:rPr>
      </w:pPr>
      <w:r w:rsidRPr="0048495E">
        <w:rPr>
          <w:rFonts w:ascii="Times New Roman" w:hAnsi="Times New Roman"/>
        </w:rPr>
        <w:t xml:space="preserve">The IPA and our members regularly work with policymakers, regulators, law enforcement, and merchants to identify, mitigate, and resolve consumer related issues. </w:t>
      </w:r>
      <w:r>
        <w:rPr>
          <w:rFonts w:ascii="Times New Roman" w:hAnsi="Times New Roman"/>
        </w:rPr>
        <w:t xml:space="preserve">As we mentioned earlier, we hope that this letter serves as beginning point in what will be </w:t>
      </w:r>
      <w:r w:rsidR="00153BB2">
        <w:rPr>
          <w:rFonts w:ascii="Times New Roman" w:hAnsi="Times New Roman"/>
        </w:rPr>
        <w:t xml:space="preserve">a </w:t>
      </w:r>
      <w:r>
        <w:rPr>
          <w:rFonts w:ascii="Times New Roman" w:hAnsi="Times New Roman"/>
        </w:rPr>
        <w:t xml:space="preserve">much longer and detailed conversation around EWA. In that spirit, the IPA would welcome the opportunity to meet with you and your staff as the next step in this conversation. </w:t>
      </w:r>
    </w:p>
    <w:p w14:paraId="60B2EB22" w14:textId="77777777" w:rsidR="00922A83" w:rsidRDefault="00922A83" w:rsidP="00922A83">
      <w:pPr>
        <w:rPr>
          <w:rFonts w:ascii="Times New Roman" w:hAnsi="Times New Roman"/>
        </w:rPr>
      </w:pPr>
    </w:p>
    <w:p w14:paraId="4AF35E14" w14:textId="067EBAE9" w:rsidR="00922A83" w:rsidRPr="0048495E" w:rsidRDefault="00922A83" w:rsidP="00922A83">
      <w:pPr>
        <w:rPr>
          <w:rFonts w:ascii="Times New Roman" w:eastAsiaTheme="minorHAnsi" w:hAnsi="Times New Roman"/>
        </w:rPr>
      </w:pPr>
      <w:r>
        <w:rPr>
          <w:rFonts w:ascii="Times New Roman" w:hAnsi="Times New Roman"/>
        </w:rPr>
        <w:t xml:space="preserve">Thank you again for the opportunity to </w:t>
      </w:r>
      <w:r w:rsidRPr="0048495E">
        <w:rPr>
          <w:rFonts w:ascii="Times New Roman" w:eastAsiaTheme="minorHAnsi" w:hAnsi="Times New Roman"/>
        </w:rPr>
        <w:t xml:space="preserve">share our views </w:t>
      </w:r>
      <w:r>
        <w:rPr>
          <w:rFonts w:ascii="Times New Roman" w:hAnsi="Times New Roman"/>
        </w:rPr>
        <w:t>on the</w:t>
      </w:r>
      <w:r w:rsidRPr="0048495E">
        <w:rPr>
          <w:rFonts w:ascii="Times New Roman" w:eastAsiaTheme="minorHAnsi" w:hAnsi="Times New Roman"/>
        </w:rPr>
        <w:t xml:space="preserve"> </w:t>
      </w:r>
      <w:r>
        <w:rPr>
          <w:rFonts w:ascii="Times New Roman" w:hAnsi="Times New Roman"/>
        </w:rPr>
        <w:t>EWA industry in this letter</w:t>
      </w:r>
      <w:r w:rsidRPr="0048495E">
        <w:rPr>
          <w:rFonts w:ascii="Times New Roman" w:eastAsiaTheme="minorHAnsi" w:hAnsi="Times New Roman"/>
        </w:rPr>
        <w:t>.</w:t>
      </w:r>
      <w:r>
        <w:rPr>
          <w:rFonts w:ascii="Times New Roman" w:hAnsi="Times New Roman"/>
        </w:rPr>
        <w:t xml:space="preserve"> </w:t>
      </w:r>
      <w:r w:rsidRPr="0048495E">
        <w:rPr>
          <w:rFonts w:ascii="Times New Roman" w:eastAsiaTheme="minorHAnsi" w:hAnsi="Times New Roman"/>
        </w:rPr>
        <w:t>If you have any questions</w:t>
      </w:r>
      <w:r>
        <w:rPr>
          <w:rFonts w:ascii="Times New Roman" w:eastAsiaTheme="minorHAnsi" w:hAnsi="Times New Roman"/>
        </w:rPr>
        <w:t xml:space="preserve"> or would like to schedule a meeting</w:t>
      </w:r>
      <w:r w:rsidRPr="0048495E">
        <w:rPr>
          <w:rFonts w:ascii="Times New Roman" w:eastAsiaTheme="minorHAnsi" w:hAnsi="Times New Roman"/>
        </w:rPr>
        <w:t xml:space="preserve">, please contact me directly at </w:t>
      </w:r>
      <w:hyperlink r:id="rId13" w:history="1">
        <w:r w:rsidRPr="0048495E">
          <w:rPr>
            <w:rStyle w:val="Hyperlink"/>
            <w:rFonts w:ascii="Times New Roman" w:eastAsiaTheme="minorHAnsi" w:hAnsi="Times New Roman"/>
          </w:rPr>
          <w:t>btate@ipa.org</w:t>
        </w:r>
      </w:hyperlink>
      <w:r w:rsidRPr="0048495E">
        <w:rPr>
          <w:rFonts w:ascii="Times New Roman" w:eastAsiaTheme="minorHAnsi" w:hAnsi="Times New Roman"/>
          <w:u w:val="single"/>
        </w:rPr>
        <w:t xml:space="preserve">. </w:t>
      </w:r>
    </w:p>
    <w:p w14:paraId="756D003A" w14:textId="77777777" w:rsidR="00922A83" w:rsidRPr="0048495E" w:rsidRDefault="00922A83" w:rsidP="00922A83">
      <w:pPr>
        <w:rPr>
          <w:rFonts w:ascii="Times New Roman" w:hAnsi="Times New Roman"/>
        </w:rPr>
      </w:pPr>
    </w:p>
    <w:p w14:paraId="71AE9E8A" w14:textId="77777777" w:rsidR="00922A83" w:rsidRPr="0048495E" w:rsidRDefault="00922A83" w:rsidP="00922A83">
      <w:pPr>
        <w:rPr>
          <w:rFonts w:ascii="Times New Roman" w:hAnsi="Times New Roman"/>
        </w:rPr>
      </w:pPr>
      <w:r w:rsidRPr="0048495E">
        <w:rPr>
          <w:rFonts w:ascii="Times New Roman" w:hAnsi="Times New Roman"/>
        </w:rPr>
        <w:t>Sincerely,</w:t>
      </w:r>
    </w:p>
    <w:p w14:paraId="5304FC82" w14:textId="77777777" w:rsidR="00922A83" w:rsidRPr="0048495E" w:rsidRDefault="00922A83" w:rsidP="00922A83">
      <w:pPr>
        <w:rPr>
          <w:rFonts w:ascii="Times New Roman" w:hAnsi="Times New Roman"/>
        </w:rPr>
      </w:pPr>
    </w:p>
    <w:p w14:paraId="0157E21E" w14:textId="77777777" w:rsidR="00922A83" w:rsidRPr="0048495E" w:rsidRDefault="00922A83" w:rsidP="00922A83">
      <w:pPr>
        <w:rPr>
          <w:rFonts w:ascii="Times New Roman" w:hAnsi="Times New Roman"/>
        </w:rPr>
      </w:pPr>
    </w:p>
    <w:p w14:paraId="238A590A" w14:textId="77777777" w:rsidR="00922A83" w:rsidRPr="0048495E" w:rsidRDefault="00922A83" w:rsidP="00922A83">
      <w:pPr>
        <w:rPr>
          <w:rFonts w:ascii="Times New Roman" w:hAnsi="Times New Roman"/>
        </w:rPr>
      </w:pPr>
    </w:p>
    <w:p w14:paraId="0D869AB2" w14:textId="77777777" w:rsidR="00922A83" w:rsidRPr="0048495E" w:rsidRDefault="00922A83" w:rsidP="00922A83">
      <w:pPr>
        <w:rPr>
          <w:rFonts w:ascii="Times New Roman" w:hAnsi="Times New Roman"/>
        </w:rPr>
      </w:pPr>
    </w:p>
    <w:p w14:paraId="7FE95745" w14:textId="77777777" w:rsidR="00922A83" w:rsidRPr="0048495E" w:rsidRDefault="00922A83" w:rsidP="00922A83">
      <w:pPr>
        <w:rPr>
          <w:rFonts w:ascii="Times New Roman" w:hAnsi="Times New Roman"/>
        </w:rPr>
      </w:pPr>
      <w:r w:rsidRPr="0048495E">
        <w:rPr>
          <w:rFonts w:ascii="Times New Roman" w:hAnsi="Times New Roman"/>
        </w:rPr>
        <w:t>____________________</w:t>
      </w:r>
    </w:p>
    <w:p w14:paraId="35C5E7E4" w14:textId="77777777" w:rsidR="00922A83" w:rsidRPr="0048495E" w:rsidRDefault="00922A83" w:rsidP="00922A83">
      <w:pPr>
        <w:rPr>
          <w:rFonts w:ascii="Times New Roman" w:hAnsi="Times New Roman"/>
        </w:rPr>
      </w:pPr>
      <w:r w:rsidRPr="0048495E">
        <w:rPr>
          <w:rFonts w:ascii="Times New Roman" w:hAnsi="Times New Roman"/>
        </w:rPr>
        <w:t>Brian Tate</w:t>
      </w:r>
    </w:p>
    <w:p w14:paraId="045DF4C4" w14:textId="77777777" w:rsidR="00922A83" w:rsidRPr="0048495E" w:rsidRDefault="00922A83" w:rsidP="00922A83">
      <w:pPr>
        <w:rPr>
          <w:rFonts w:ascii="Times New Roman" w:hAnsi="Times New Roman"/>
        </w:rPr>
      </w:pPr>
      <w:r w:rsidRPr="0048495E">
        <w:rPr>
          <w:rFonts w:ascii="Times New Roman" w:hAnsi="Times New Roman"/>
        </w:rPr>
        <w:t>President and CEO</w:t>
      </w:r>
    </w:p>
    <w:p w14:paraId="2383BC00" w14:textId="77777777" w:rsidR="00922A83" w:rsidRPr="0048495E" w:rsidRDefault="00922A83" w:rsidP="00922A83">
      <w:pPr>
        <w:rPr>
          <w:rFonts w:ascii="Times New Roman" w:hAnsi="Times New Roman"/>
        </w:rPr>
      </w:pPr>
      <w:r w:rsidRPr="0048495E">
        <w:rPr>
          <w:rFonts w:ascii="Times New Roman" w:hAnsi="Times New Roman"/>
        </w:rPr>
        <w:t>IPA</w:t>
      </w:r>
    </w:p>
    <w:p w14:paraId="0FD019B4" w14:textId="77777777" w:rsidR="00922A83" w:rsidRPr="00347267" w:rsidRDefault="00922A83" w:rsidP="00922A83">
      <w:pPr>
        <w:rPr>
          <w:rFonts w:ascii="Times New Roman" w:hAnsi="Times New Roman"/>
        </w:rPr>
      </w:pPr>
    </w:p>
    <w:p w14:paraId="3D76CFBB" w14:textId="77777777" w:rsidR="00922A83" w:rsidRPr="00347267" w:rsidRDefault="00922A83" w:rsidP="00922A83">
      <w:pPr>
        <w:jc w:val="both"/>
        <w:rPr>
          <w:rFonts w:ascii="Times New Roman" w:eastAsia="Calibri" w:hAnsi="Times New Roman"/>
          <w:color w:val="000000"/>
        </w:rPr>
      </w:pPr>
    </w:p>
    <w:p w14:paraId="120BFB66" w14:textId="77777777" w:rsidR="00922A83" w:rsidRPr="00347267" w:rsidRDefault="00922A83" w:rsidP="00922A83">
      <w:pPr>
        <w:jc w:val="both"/>
        <w:rPr>
          <w:rFonts w:ascii="Times New Roman" w:eastAsia="Calibri" w:hAnsi="Times New Roman"/>
          <w:color w:val="000000"/>
        </w:rPr>
      </w:pPr>
    </w:p>
    <w:p w14:paraId="398F539D" w14:textId="759C09BA" w:rsidR="00CA328B" w:rsidRPr="00922A83" w:rsidRDefault="00CA328B" w:rsidP="00922A83"/>
    <w:sectPr w:rsidR="00CA328B" w:rsidRPr="00922A83" w:rsidSect="001321CA">
      <w:headerReference w:type="default" r:id="rId14"/>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DAC577" w14:textId="77777777" w:rsidR="00097B85" w:rsidRDefault="00097B85" w:rsidP="00084C9D">
      <w:r>
        <w:separator/>
      </w:r>
    </w:p>
  </w:endnote>
  <w:endnote w:type="continuationSeparator" w:id="0">
    <w:p w14:paraId="56982AF0" w14:textId="77777777" w:rsidR="00097B85" w:rsidRDefault="00097B85" w:rsidP="00084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DDB76E" w14:textId="77777777" w:rsidR="00097B85" w:rsidRDefault="00097B85" w:rsidP="00084C9D">
      <w:r>
        <w:separator/>
      </w:r>
    </w:p>
  </w:footnote>
  <w:footnote w:type="continuationSeparator" w:id="0">
    <w:p w14:paraId="19F0E87C" w14:textId="77777777" w:rsidR="00097B85" w:rsidRDefault="00097B85" w:rsidP="00084C9D">
      <w:r>
        <w:continuationSeparator/>
      </w:r>
    </w:p>
  </w:footnote>
  <w:footnote w:id="1">
    <w:p w14:paraId="70B82FF3" w14:textId="77777777" w:rsidR="00922A83" w:rsidRDefault="00922A83" w:rsidP="00E93A00">
      <w:pPr>
        <w:pStyle w:val="FootnoteText"/>
        <w:jc w:val="both"/>
      </w:pPr>
      <w:r>
        <w:rPr>
          <w:rStyle w:val="FootnoteReference"/>
        </w:rPr>
        <w:footnoteRef/>
      </w:r>
      <w:r>
        <w:t xml:space="preserve"> </w:t>
      </w:r>
      <w:r w:rsidRPr="00267460">
        <w:t>The IPA is a trade organization that serves as the leading voice of the electronic payments sector, including prepaid products, mobile wallets, and person-to-person (P2P) technology for consumers, businesses and governments at all levels. The IPA’s goal is to encourage efficient use of electronic payments, cultivate financial inclusion through educating and empowering consumers, represent the industry before legislative and regulatory bodies, and provide thought leadership. The comments made in this letter do not necessarily represent the position of all members of the IPA.</w:t>
      </w:r>
    </w:p>
  </w:footnote>
  <w:footnote w:id="2">
    <w:p w14:paraId="65146A72" w14:textId="2807516C" w:rsidR="00922A83" w:rsidRPr="00347267" w:rsidRDefault="00922A83" w:rsidP="00E93A00">
      <w:pPr>
        <w:pStyle w:val="FootnoteText"/>
        <w:jc w:val="both"/>
      </w:pPr>
      <w:r w:rsidRPr="00347267">
        <w:rPr>
          <w:rStyle w:val="FootnoteReference"/>
        </w:rPr>
        <w:t>2</w:t>
      </w:r>
      <w:r w:rsidRPr="00347267">
        <w:t xml:space="preserve"> </w:t>
      </w:r>
      <w:hyperlink r:id="rId1" w:history="1">
        <w:r w:rsidRPr="00347267">
          <w:rPr>
            <w:rStyle w:val="Hyperlink"/>
          </w:rPr>
          <w:t>https://www.federalregister.gov/documents/2020/12/10/2020-26664/truth-in-lending-regulation-z-earned-wage-access-programs</w:t>
        </w:r>
      </w:hyperlink>
      <w:r w:rsidR="00E93A00">
        <w:rPr>
          <w:rStyle w:val="Hyperlink"/>
        </w:rPr>
        <w:t>.</w:t>
      </w:r>
    </w:p>
    <w:p w14:paraId="5B448A47" w14:textId="77777777" w:rsidR="00922A83" w:rsidRDefault="00922A83" w:rsidP="00922A83">
      <w:pPr>
        <w:pStyle w:val="FootnoteText"/>
      </w:pPr>
    </w:p>
  </w:footnote>
  <w:footnote w:id="3">
    <w:p w14:paraId="6F79B116" w14:textId="574C5FE2" w:rsidR="00922A83" w:rsidRPr="00267460" w:rsidRDefault="00922A83" w:rsidP="00E93A00">
      <w:pPr>
        <w:pStyle w:val="FootnoteText"/>
        <w:jc w:val="both"/>
      </w:pPr>
      <w:r w:rsidRPr="00267460">
        <w:rPr>
          <w:rStyle w:val="FootnoteReference"/>
        </w:rPr>
        <w:footnoteRef/>
      </w:r>
      <w:r w:rsidRPr="00267460">
        <w:t xml:space="preserve"> </w:t>
      </w:r>
      <w:hyperlink r:id="rId2" w:history="1">
        <w:r w:rsidRPr="00267460">
          <w:rPr>
            <w:rStyle w:val="Hyperlink"/>
          </w:rPr>
          <w:t>https://www.jdsupra.com/legalnews/how-do-you-have-earned-wage-access-1909144/</w:t>
        </w:r>
      </w:hyperlink>
      <w:r w:rsidR="00E93A00">
        <w:rPr>
          <w:rStyle w:val="Hyperlink"/>
        </w:rPr>
        <w:t>.</w:t>
      </w:r>
    </w:p>
    <w:p w14:paraId="2A8B9D64" w14:textId="77777777" w:rsidR="00922A83" w:rsidRDefault="00922A83" w:rsidP="00922A83">
      <w:pPr>
        <w:pStyle w:val="FootnoteText"/>
      </w:pPr>
    </w:p>
  </w:footnote>
  <w:footnote w:id="4">
    <w:p w14:paraId="4921DDAB" w14:textId="77777777" w:rsidR="00922A83" w:rsidRPr="00267460" w:rsidRDefault="00922A83" w:rsidP="00E93A00">
      <w:pPr>
        <w:pStyle w:val="FootnoteText"/>
        <w:jc w:val="both"/>
      </w:pPr>
      <w:r>
        <w:rPr>
          <w:rStyle w:val="FootnoteReference"/>
        </w:rPr>
        <w:footnoteRef/>
      </w:r>
      <w:r>
        <w:t xml:space="preserve"> </w:t>
      </w:r>
      <w:hyperlink r:id="rId3" w:history="1">
        <w:r w:rsidRPr="00267460">
          <w:rPr>
            <w:rStyle w:val="Hyperlink"/>
          </w:rPr>
          <w:t>Truth in Lending (Regulation Z); Earned Wage Access Programs (consumerfinance.gov)</w:t>
        </w:r>
      </w:hyperlink>
    </w:p>
  </w:footnote>
  <w:footnote w:id="5">
    <w:p w14:paraId="3341C8E1" w14:textId="77777777" w:rsidR="00922A83" w:rsidRDefault="00922A83" w:rsidP="00E93A00">
      <w:pPr>
        <w:pStyle w:val="FootnoteText"/>
        <w:jc w:val="both"/>
      </w:pPr>
      <w:r w:rsidRPr="00267460">
        <w:rPr>
          <w:rStyle w:val="FootnoteReference"/>
        </w:rPr>
        <w:footnoteRef/>
      </w:r>
      <w:r w:rsidRPr="00267460">
        <w:t xml:space="preserve"> </w:t>
      </w:r>
      <w:r w:rsidRPr="00267460">
        <w:rPr>
          <w:i/>
          <w:iCs/>
        </w:rPr>
        <w:t xml:space="preserve">See </w:t>
      </w:r>
      <w:r w:rsidRPr="00267460">
        <w:t xml:space="preserve">Todd Baker and </w:t>
      </w:r>
      <w:proofErr w:type="spellStart"/>
      <w:r w:rsidRPr="00267460">
        <w:t>Snigdha</w:t>
      </w:r>
      <w:proofErr w:type="spellEnd"/>
      <w:r w:rsidRPr="00267460">
        <w:t xml:space="preserve"> Kumar, </w:t>
      </w:r>
      <w:r w:rsidRPr="00267460">
        <w:rPr>
          <w:i/>
          <w:iCs/>
        </w:rPr>
        <w:t>The Power of the Salary Link: Assessing the Benefits of Employer-Sponsored FinTech Liquidity and Credit Solutions for Low-Wage Working Americans and their Employers</w:t>
      </w:r>
      <w:r w:rsidRPr="00267460">
        <w:t xml:space="preserve">, M-RCBG Associate Working Paper Series No. 88 (May 2018), available at </w:t>
      </w:r>
      <w:hyperlink r:id="rId4" w:history="1">
        <w:r w:rsidRPr="00267460">
          <w:rPr>
            <w:rStyle w:val="Hyperlink"/>
          </w:rPr>
          <w:t>https://www.hks.harvard.edu/sites/default/files/centers/mrcbg/working.papers/88_final.pdf</w:t>
        </w:r>
      </w:hyperlink>
      <w:r w:rsidRPr="00267460">
        <w:t xml:space="preserve"> (last accessed Nov. 13, 2020); </w:t>
      </w:r>
      <w:r w:rsidRPr="00267460">
        <w:rPr>
          <w:i/>
          <w:iCs/>
        </w:rPr>
        <w:t>also</w:t>
      </w:r>
      <w:r w:rsidRPr="00267460">
        <w:t xml:space="preserve"> Center for Social Development at Washington University in St. Louis, </w:t>
      </w:r>
      <w:r w:rsidRPr="00267460">
        <w:rPr>
          <w:i/>
          <w:iCs/>
        </w:rPr>
        <w:t>Workplace Financial Wellness Services: A Primer for Employers</w:t>
      </w:r>
      <w:r w:rsidRPr="00267460">
        <w:t xml:space="preserve">, (2017), at 10 available at </w:t>
      </w:r>
      <w:hyperlink r:id="rId5" w:history="1">
        <w:r w:rsidRPr="00267460">
          <w:rPr>
            <w:rStyle w:val="Hyperlink"/>
          </w:rPr>
          <w:t>https://csd.wustl.edu/17-33/</w:t>
        </w:r>
      </w:hyperlink>
      <w:r w:rsidRPr="00267460">
        <w:t xml:space="preserve"> (last accessed Nov. 13, 2020) (EWA helps employees “eliminate[] costly short-term loans” and “moderate income volatility”).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9BDF3D" w14:textId="7C8086E7" w:rsidR="00922A83" w:rsidRPr="00FA0BBD" w:rsidRDefault="00922A83" w:rsidP="00922A83">
    <w:pPr>
      <w:tabs>
        <w:tab w:val="center" w:pos="4680"/>
        <w:tab w:val="right" w:pos="9360"/>
      </w:tabs>
      <w:spacing w:line="288" w:lineRule="auto"/>
      <w:ind w:right="-110"/>
      <w:jc w:val="right"/>
      <w:rPr>
        <w:rFonts w:ascii="Times New Roman" w:eastAsia="Arial" w:hAnsi="Times New Roman"/>
        <w:b/>
      </w:rPr>
    </w:pPr>
    <w:r w:rsidRPr="00FA0BBD">
      <w:rPr>
        <w:rFonts w:ascii="Times New Roman" w:eastAsia="Calibri" w:hAnsi="Times New Roman"/>
        <w:noProof/>
      </w:rPr>
      <w:drawing>
        <wp:anchor distT="0" distB="0" distL="114300" distR="114300" simplePos="0" relativeHeight="251665408" behindDoc="0" locked="0" layoutInCell="1" allowOverlap="1" wp14:anchorId="69C43796" wp14:editId="2ED64511">
          <wp:simplePos x="0" y="0"/>
          <wp:positionH relativeFrom="margin">
            <wp:posOffset>-165100</wp:posOffset>
          </wp:positionH>
          <wp:positionV relativeFrom="paragraph">
            <wp:posOffset>-233680</wp:posOffset>
          </wp:positionV>
          <wp:extent cx="1485817" cy="1070784"/>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817" cy="10707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A0BBD">
      <w:rPr>
        <w:rFonts w:ascii="Times New Roman" w:eastAsia="Arial" w:hAnsi="Times New Roman"/>
        <w:b/>
      </w:rPr>
      <w:t xml:space="preserve">Innovative Payments Association </w:t>
    </w:r>
  </w:p>
  <w:p w14:paraId="67CFDE9B" w14:textId="77777777" w:rsidR="00922A83" w:rsidRDefault="00922A83" w:rsidP="00922A83">
    <w:pPr>
      <w:tabs>
        <w:tab w:val="center" w:pos="4680"/>
        <w:tab w:val="right" w:pos="9360"/>
      </w:tabs>
      <w:spacing w:line="288" w:lineRule="auto"/>
      <w:ind w:right="-110"/>
      <w:jc w:val="right"/>
      <w:rPr>
        <w:rFonts w:ascii="Times New Roman" w:eastAsia="Arial" w:hAnsi="Times New Roman"/>
      </w:rPr>
    </w:pPr>
    <w:r w:rsidRPr="00493CE1">
      <w:rPr>
        <w:rFonts w:ascii="Times New Roman" w:eastAsia="Arial" w:hAnsi="Times New Roman"/>
      </w:rPr>
      <w:t xml:space="preserve">110 Chestnut Ridge Road </w:t>
    </w:r>
  </w:p>
  <w:p w14:paraId="2C9BCA09" w14:textId="77777777" w:rsidR="00922A83" w:rsidRPr="00493CE1" w:rsidRDefault="00922A83" w:rsidP="00922A83">
    <w:pPr>
      <w:tabs>
        <w:tab w:val="center" w:pos="4680"/>
        <w:tab w:val="right" w:pos="9360"/>
      </w:tabs>
      <w:spacing w:line="288" w:lineRule="auto"/>
      <w:ind w:right="-110"/>
      <w:jc w:val="right"/>
      <w:rPr>
        <w:rFonts w:ascii="Times New Roman" w:eastAsia="Arial" w:hAnsi="Times New Roman"/>
      </w:rPr>
    </w:pPr>
    <w:r w:rsidRPr="00493CE1">
      <w:rPr>
        <w:rFonts w:ascii="Times New Roman" w:eastAsia="Arial" w:hAnsi="Times New Roman"/>
      </w:rPr>
      <w:t>Suite 111</w:t>
    </w:r>
  </w:p>
  <w:p w14:paraId="02F7EF3F" w14:textId="6FA27A0F" w:rsidR="00922A83" w:rsidRDefault="00922A83" w:rsidP="00922A83">
    <w:pPr>
      <w:pStyle w:val="Header"/>
      <w:jc w:val="right"/>
    </w:pPr>
    <w:r>
      <w:rPr>
        <w:rFonts w:ascii="Times New Roman" w:eastAsia="Arial" w:hAnsi="Times New Roman"/>
      </w:rPr>
      <w:t xml:space="preserve">    </w:t>
    </w:r>
    <w:r w:rsidRPr="00493CE1">
      <w:rPr>
        <w:rFonts w:ascii="Times New Roman" w:eastAsia="Arial" w:hAnsi="Times New Roman"/>
      </w:rPr>
      <w:t>Montvale, NJ 07645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3962" w:type="dxa"/>
      <w:tblLook w:val="04A0" w:firstRow="1" w:lastRow="0" w:firstColumn="1" w:lastColumn="0" w:noHBand="0" w:noVBand="1"/>
    </w:tblPr>
    <w:tblGrid>
      <w:gridCol w:w="4428"/>
      <w:gridCol w:w="5556"/>
      <w:gridCol w:w="3978"/>
    </w:tblGrid>
    <w:tr w:rsidR="006C53F6" w:rsidRPr="001D6404" w14:paraId="4565BCDA" w14:textId="77777777" w:rsidTr="006C53F6">
      <w:tc>
        <w:tcPr>
          <w:tcW w:w="4428" w:type="dxa"/>
          <w:shd w:val="clear" w:color="auto" w:fill="auto"/>
        </w:tcPr>
        <w:p w14:paraId="2FEC32DB" w14:textId="0772D4CC" w:rsidR="006C53F6" w:rsidRPr="001D6404" w:rsidRDefault="006C53F6" w:rsidP="006C53F6">
          <w:pPr>
            <w:tabs>
              <w:tab w:val="center" w:pos="4680"/>
              <w:tab w:val="right" w:pos="9360"/>
            </w:tabs>
            <w:jc w:val="both"/>
            <w:rPr>
              <w:rFonts w:eastAsia="Arial"/>
              <w:sz w:val="22"/>
              <w:szCs w:val="22"/>
            </w:rPr>
          </w:pPr>
        </w:p>
      </w:tc>
      <w:tc>
        <w:tcPr>
          <w:tcW w:w="5556" w:type="dxa"/>
        </w:tcPr>
        <w:p w14:paraId="1599F6D3" w14:textId="5305577E" w:rsidR="006C53F6" w:rsidRPr="00FA0BBD" w:rsidRDefault="006C53F6" w:rsidP="006C53F6">
          <w:pPr>
            <w:tabs>
              <w:tab w:val="center" w:pos="4680"/>
              <w:tab w:val="right" w:pos="9360"/>
            </w:tabs>
            <w:spacing w:line="288" w:lineRule="auto"/>
            <w:ind w:right="-110"/>
            <w:jc w:val="right"/>
            <w:rPr>
              <w:rFonts w:ascii="Times New Roman" w:eastAsia="Arial" w:hAnsi="Times New Roman"/>
              <w:b/>
            </w:rPr>
          </w:pPr>
          <w:r w:rsidRPr="00FA0BBD">
            <w:rPr>
              <w:rFonts w:ascii="Times New Roman" w:eastAsia="Arial" w:hAnsi="Times New Roman"/>
              <w:b/>
            </w:rPr>
            <w:t xml:space="preserve">Innovative Payments Association </w:t>
          </w:r>
        </w:p>
        <w:p w14:paraId="4E9EA796" w14:textId="77777777" w:rsidR="006C53F6" w:rsidRDefault="006C53F6" w:rsidP="006C53F6">
          <w:pPr>
            <w:tabs>
              <w:tab w:val="center" w:pos="4680"/>
              <w:tab w:val="right" w:pos="9360"/>
            </w:tabs>
            <w:spacing w:line="288" w:lineRule="auto"/>
            <w:ind w:right="-110"/>
            <w:jc w:val="right"/>
            <w:rPr>
              <w:rFonts w:ascii="Times New Roman" w:eastAsia="Arial" w:hAnsi="Times New Roman"/>
            </w:rPr>
          </w:pPr>
          <w:r w:rsidRPr="00493CE1">
            <w:rPr>
              <w:rFonts w:ascii="Times New Roman" w:eastAsia="Arial" w:hAnsi="Times New Roman"/>
            </w:rPr>
            <w:t xml:space="preserve">110 Chestnut Ridge Road </w:t>
          </w:r>
        </w:p>
        <w:p w14:paraId="37900267" w14:textId="77777777" w:rsidR="006C53F6" w:rsidRPr="00493CE1" w:rsidRDefault="006C53F6" w:rsidP="006C53F6">
          <w:pPr>
            <w:tabs>
              <w:tab w:val="center" w:pos="4680"/>
              <w:tab w:val="right" w:pos="9360"/>
            </w:tabs>
            <w:spacing w:line="288" w:lineRule="auto"/>
            <w:ind w:right="-110"/>
            <w:jc w:val="right"/>
            <w:rPr>
              <w:rFonts w:ascii="Times New Roman" w:eastAsia="Arial" w:hAnsi="Times New Roman"/>
            </w:rPr>
          </w:pPr>
          <w:r w:rsidRPr="00493CE1">
            <w:rPr>
              <w:rFonts w:ascii="Times New Roman" w:eastAsia="Arial" w:hAnsi="Times New Roman"/>
            </w:rPr>
            <w:t>Suite 111</w:t>
          </w:r>
        </w:p>
        <w:p w14:paraId="2C765D40" w14:textId="074003DE" w:rsidR="006C53F6" w:rsidRPr="001D6404" w:rsidRDefault="006C53F6" w:rsidP="006C53F6">
          <w:pPr>
            <w:tabs>
              <w:tab w:val="center" w:pos="4680"/>
              <w:tab w:val="right" w:pos="9360"/>
            </w:tabs>
            <w:ind w:right="-110"/>
            <w:jc w:val="right"/>
            <w:rPr>
              <w:rFonts w:eastAsia="Arial"/>
              <w:sz w:val="22"/>
              <w:szCs w:val="22"/>
            </w:rPr>
          </w:pPr>
          <w:r>
            <w:rPr>
              <w:rFonts w:ascii="Times New Roman" w:eastAsia="Arial" w:hAnsi="Times New Roman"/>
            </w:rPr>
            <w:t xml:space="preserve">    </w:t>
          </w:r>
          <w:r w:rsidRPr="00493CE1">
            <w:rPr>
              <w:rFonts w:ascii="Times New Roman" w:eastAsia="Arial" w:hAnsi="Times New Roman"/>
            </w:rPr>
            <w:t>Montvale, NJ 07645</w:t>
          </w:r>
        </w:p>
      </w:tc>
      <w:tc>
        <w:tcPr>
          <w:tcW w:w="3978" w:type="dxa"/>
          <w:shd w:val="clear" w:color="auto" w:fill="auto"/>
        </w:tcPr>
        <w:p w14:paraId="4FB09C37" w14:textId="67185B60" w:rsidR="006C53F6" w:rsidRPr="001D6404" w:rsidRDefault="006C53F6" w:rsidP="006C53F6">
          <w:pPr>
            <w:tabs>
              <w:tab w:val="center" w:pos="4680"/>
              <w:tab w:val="right" w:pos="9360"/>
            </w:tabs>
            <w:jc w:val="both"/>
            <w:rPr>
              <w:rFonts w:eastAsia="Arial"/>
              <w:sz w:val="22"/>
              <w:szCs w:val="22"/>
            </w:rPr>
          </w:pPr>
        </w:p>
      </w:tc>
    </w:tr>
    <w:tr w:rsidR="0015520D" w:rsidRPr="001D6404" w14:paraId="3D82FBD8" w14:textId="77777777" w:rsidTr="006C53F6">
      <w:tc>
        <w:tcPr>
          <w:tcW w:w="4428" w:type="dxa"/>
          <w:shd w:val="clear" w:color="auto" w:fill="auto"/>
        </w:tcPr>
        <w:p w14:paraId="6B0ACCFC" w14:textId="77777777" w:rsidR="0015520D" w:rsidRPr="001D6404" w:rsidRDefault="0015520D" w:rsidP="0015520D">
          <w:pPr>
            <w:tabs>
              <w:tab w:val="center" w:pos="4680"/>
              <w:tab w:val="right" w:pos="9360"/>
            </w:tabs>
            <w:jc w:val="both"/>
            <w:rPr>
              <w:noProof/>
              <w:lang w:eastAsia="zh-TW"/>
            </w:rPr>
          </w:pPr>
        </w:p>
      </w:tc>
      <w:tc>
        <w:tcPr>
          <w:tcW w:w="5556" w:type="dxa"/>
        </w:tcPr>
        <w:p w14:paraId="7181E4F8" w14:textId="77777777" w:rsidR="0015520D" w:rsidRPr="001D6404" w:rsidRDefault="0015520D" w:rsidP="006C53F6">
          <w:pPr>
            <w:tabs>
              <w:tab w:val="center" w:pos="4680"/>
              <w:tab w:val="right" w:pos="9360"/>
            </w:tabs>
            <w:spacing w:line="288" w:lineRule="auto"/>
            <w:jc w:val="right"/>
            <w:rPr>
              <w:rFonts w:eastAsia="Arial"/>
              <w:b/>
              <w:sz w:val="22"/>
              <w:szCs w:val="22"/>
            </w:rPr>
          </w:pPr>
        </w:p>
      </w:tc>
      <w:tc>
        <w:tcPr>
          <w:tcW w:w="3978" w:type="dxa"/>
          <w:shd w:val="clear" w:color="auto" w:fill="auto"/>
        </w:tcPr>
        <w:p w14:paraId="1866DEED" w14:textId="53E41EE4" w:rsidR="0015520D" w:rsidRPr="001D6404" w:rsidRDefault="0015520D" w:rsidP="0015520D">
          <w:pPr>
            <w:tabs>
              <w:tab w:val="center" w:pos="4680"/>
              <w:tab w:val="right" w:pos="9360"/>
            </w:tabs>
            <w:spacing w:line="288" w:lineRule="auto"/>
            <w:jc w:val="right"/>
            <w:rPr>
              <w:rFonts w:eastAsia="Arial"/>
              <w:b/>
              <w:sz w:val="22"/>
              <w:szCs w:val="22"/>
            </w:rPr>
          </w:pPr>
        </w:p>
      </w:tc>
    </w:tr>
  </w:tbl>
  <w:p w14:paraId="65046DD3" w14:textId="0EFA58F0" w:rsidR="001D6404" w:rsidRDefault="006C53F6">
    <w:pPr>
      <w:pStyle w:val="Header"/>
    </w:pPr>
    <w:r w:rsidRPr="00FA0BBD">
      <w:rPr>
        <w:rFonts w:ascii="Times New Roman" w:eastAsia="Calibri" w:hAnsi="Times New Roman"/>
        <w:noProof/>
      </w:rPr>
      <w:drawing>
        <wp:anchor distT="0" distB="0" distL="114300" distR="114300" simplePos="0" relativeHeight="251663360" behindDoc="1" locked="0" layoutInCell="1" allowOverlap="1" wp14:anchorId="1817BD22" wp14:editId="3532B2B3">
          <wp:simplePos x="0" y="0"/>
          <wp:positionH relativeFrom="margin">
            <wp:align>left</wp:align>
          </wp:positionH>
          <wp:positionV relativeFrom="paragraph">
            <wp:posOffset>-1183005</wp:posOffset>
          </wp:positionV>
          <wp:extent cx="1416050" cy="1020505"/>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6050" cy="102050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84640F"/>
    <w:multiLevelType w:val="multilevel"/>
    <w:tmpl w:val="D30294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D117B59"/>
    <w:multiLevelType w:val="hybridMultilevel"/>
    <w:tmpl w:val="91FE5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NotTrackFormatting/>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85TrailerDate" w:val="0"/>
    <w:docVar w:name="85TrailerDateField" w:val="0"/>
    <w:docVar w:name="85TrailerDraft" w:val="0"/>
    <w:docVar w:name="85TrailerTime" w:val="0"/>
    <w:docVar w:name="85TrailerType" w:val="102"/>
    <w:docVar w:name="MPDocID" w:val="DOCS/2658424.1"/>
    <w:docVar w:name="MPDocIDTemplateDefault" w:val="%l/|%n|.%v|"/>
    <w:docVar w:name="NewDocStampType" w:val="7"/>
    <w:docVar w:name="zzmpFixed_MacPacVersion" w:val="9.0"/>
  </w:docVars>
  <w:rsids>
    <w:rsidRoot w:val="00D00A77"/>
    <w:rsid w:val="00027141"/>
    <w:rsid w:val="000443C3"/>
    <w:rsid w:val="00084C9D"/>
    <w:rsid w:val="00087CB5"/>
    <w:rsid w:val="00097B85"/>
    <w:rsid w:val="000A17B8"/>
    <w:rsid w:val="000A6293"/>
    <w:rsid w:val="000B61E2"/>
    <w:rsid w:val="000B6AD7"/>
    <w:rsid w:val="000B79E1"/>
    <w:rsid w:val="000C485F"/>
    <w:rsid w:val="000D1A33"/>
    <w:rsid w:val="000F7D92"/>
    <w:rsid w:val="00113AA3"/>
    <w:rsid w:val="00115596"/>
    <w:rsid w:val="001222EF"/>
    <w:rsid w:val="001251F8"/>
    <w:rsid w:val="001321CA"/>
    <w:rsid w:val="00134964"/>
    <w:rsid w:val="0014130A"/>
    <w:rsid w:val="0014290E"/>
    <w:rsid w:val="00147CE9"/>
    <w:rsid w:val="00147F17"/>
    <w:rsid w:val="00153163"/>
    <w:rsid w:val="00153BB2"/>
    <w:rsid w:val="0015520D"/>
    <w:rsid w:val="001615D4"/>
    <w:rsid w:val="00162D2A"/>
    <w:rsid w:val="00171897"/>
    <w:rsid w:val="00190F76"/>
    <w:rsid w:val="00196AC3"/>
    <w:rsid w:val="001A487E"/>
    <w:rsid w:val="001C7AAB"/>
    <w:rsid w:val="001D4965"/>
    <w:rsid w:val="001F06A9"/>
    <w:rsid w:val="00227372"/>
    <w:rsid w:val="00231A2D"/>
    <w:rsid w:val="00237213"/>
    <w:rsid w:val="00255FEE"/>
    <w:rsid w:val="002666F8"/>
    <w:rsid w:val="002710C8"/>
    <w:rsid w:val="00272709"/>
    <w:rsid w:val="002B2679"/>
    <w:rsid w:val="002B3A2E"/>
    <w:rsid w:val="002B6360"/>
    <w:rsid w:val="002D6564"/>
    <w:rsid w:val="002E1ABB"/>
    <w:rsid w:val="002F039E"/>
    <w:rsid w:val="00305507"/>
    <w:rsid w:val="00314CF9"/>
    <w:rsid w:val="00316749"/>
    <w:rsid w:val="00323191"/>
    <w:rsid w:val="003246CC"/>
    <w:rsid w:val="003752D6"/>
    <w:rsid w:val="00375CBA"/>
    <w:rsid w:val="00376FAF"/>
    <w:rsid w:val="003910CE"/>
    <w:rsid w:val="00391CA9"/>
    <w:rsid w:val="003C3B57"/>
    <w:rsid w:val="00401C0E"/>
    <w:rsid w:val="004117D5"/>
    <w:rsid w:val="004260F9"/>
    <w:rsid w:val="00444656"/>
    <w:rsid w:val="00455A3E"/>
    <w:rsid w:val="004570D9"/>
    <w:rsid w:val="00492D89"/>
    <w:rsid w:val="0049411D"/>
    <w:rsid w:val="004A30EE"/>
    <w:rsid w:val="004A5AF2"/>
    <w:rsid w:val="004C56F9"/>
    <w:rsid w:val="004D184F"/>
    <w:rsid w:val="00504D90"/>
    <w:rsid w:val="00536149"/>
    <w:rsid w:val="00554EBB"/>
    <w:rsid w:val="005B1B79"/>
    <w:rsid w:val="005D28B6"/>
    <w:rsid w:val="005E08BE"/>
    <w:rsid w:val="006326DB"/>
    <w:rsid w:val="00670A90"/>
    <w:rsid w:val="006C3027"/>
    <w:rsid w:val="006C53F6"/>
    <w:rsid w:val="006C5991"/>
    <w:rsid w:val="006D782B"/>
    <w:rsid w:val="006F275D"/>
    <w:rsid w:val="006F37D8"/>
    <w:rsid w:val="00740C92"/>
    <w:rsid w:val="00741FC2"/>
    <w:rsid w:val="007C1336"/>
    <w:rsid w:val="007D05EB"/>
    <w:rsid w:val="007D0977"/>
    <w:rsid w:val="007D33A1"/>
    <w:rsid w:val="00805620"/>
    <w:rsid w:val="00835DF8"/>
    <w:rsid w:val="0087559E"/>
    <w:rsid w:val="00882694"/>
    <w:rsid w:val="008B4BAD"/>
    <w:rsid w:val="008D1507"/>
    <w:rsid w:val="008E43AD"/>
    <w:rsid w:val="008E7C13"/>
    <w:rsid w:val="008F05DB"/>
    <w:rsid w:val="00922A83"/>
    <w:rsid w:val="00922DA9"/>
    <w:rsid w:val="00962DD8"/>
    <w:rsid w:val="00964056"/>
    <w:rsid w:val="0098696D"/>
    <w:rsid w:val="009C3ED9"/>
    <w:rsid w:val="00A16A66"/>
    <w:rsid w:val="00A34C5D"/>
    <w:rsid w:val="00A40FCE"/>
    <w:rsid w:val="00A563B9"/>
    <w:rsid w:val="00A5736D"/>
    <w:rsid w:val="00A80B35"/>
    <w:rsid w:val="00A86A6A"/>
    <w:rsid w:val="00A974F6"/>
    <w:rsid w:val="00AD2628"/>
    <w:rsid w:val="00AD7D11"/>
    <w:rsid w:val="00AE2C8B"/>
    <w:rsid w:val="00AF43AC"/>
    <w:rsid w:val="00B16AB9"/>
    <w:rsid w:val="00B16DAC"/>
    <w:rsid w:val="00B33F8F"/>
    <w:rsid w:val="00BA417A"/>
    <w:rsid w:val="00BB7642"/>
    <w:rsid w:val="00BE362A"/>
    <w:rsid w:val="00C0733E"/>
    <w:rsid w:val="00C14D1E"/>
    <w:rsid w:val="00C239AD"/>
    <w:rsid w:val="00C245BC"/>
    <w:rsid w:val="00C429A5"/>
    <w:rsid w:val="00C866D2"/>
    <w:rsid w:val="00C97C88"/>
    <w:rsid w:val="00CA328B"/>
    <w:rsid w:val="00CA5EDD"/>
    <w:rsid w:val="00CD70E2"/>
    <w:rsid w:val="00CF1474"/>
    <w:rsid w:val="00CF7FFD"/>
    <w:rsid w:val="00D00A77"/>
    <w:rsid w:val="00D14753"/>
    <w:rsid w:val="00D15ADD"/>
    <w:rsid w:val="00D411B8"/>
    <w:rsid w:val="00D46E6F"/>
    <w:rsid w:val="00D63B26"/>
    <w:rsid w:val="00D64CAD"/>
    <w:rsid w:val="00D72019"/>
    <w:rsid w:val="00D904CC"/>
    <w:rsid w:val="00D95DAE"/>
    <w:rsid w:val="00DA7F85"/>
    <w:rsid w:val="00DB1449"/>
    <w:rsid w:val="00DB28F5"/>
    <w:rsid w:val="00DC0EF7"/>
    <w:rsid w:val="00DE40B5"/>
    <w:rsid w:val="00DF1EC4"/>
    <w:rsid w:val="00DF5DDD"/>
    <w:rsid w:val="00E03FBE"/>
    <w:rsid w:val="00E4715F"/>
    <w:rsid w:val="00E532E5"/>
    <w:rsid w:val="00E83FF5"/>
    <w:rsid w:val="00E87DEC"/>
    <w:rsid w:val="00E93A00"/>
    <w:rsid w:val="00ED2245"/>
    <w:rsid w:val="00EE1BDB"/>
    <w:rsid w:val="00EE5683"/>
    <w:rsid w:val="00EF1924"/>
    <w:rsid w:val="00EF3BD1"/>
    <w:rsid w:val="00EF7EAF"/>
    <w:rsid w:val="00F113BA"/>
    <w:rsid w:val="00F11812"/>
    <w:rsid w:val="00F130B8"/>
    <w:rsid w:val="00F25C10"/>
    <w:rsid w:val="00F31C22"/>
    <w:rsid w:val="00F402BD"/>
    <w:rsid w:val="00F44363"/>
    <w:rsid w:val="00F53202"/>
    <w:rsid w:val="00F745CB"/>
    <w:rsid w:val="00F8195B"/>
    <w:rsid w:val="00F84BAD"/>
    <w:rsid w:val="00FA343F"/>
    <w:rsid w:val="00FB4ABB"/>
    <w:rsid w:val="00FC3020"/>
    <w:rsid w:val="00FC6DA3"/>
    <w:rsid w:val="00FD6AA3"/>
    <w:rsid w:val="00FD78D9"/>
    <w:rsid w:val="00FF43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A734D5"/>
  <w15:docId w15:val="{7FE44EE6-3EBE-4DC1-97F4-065F6D4A0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Arial"/>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CA9"/>
    <w:pPr>
      <w:spacing w:after="0" w:line="240" w:lineRule="auto"/>
    </w:pPr>
    <w:rPr>
      <w:rFonts w:cs="Times New Roman"/>
    </w:rPr>
  </w:style>
  <w:style w:type="paragraph" w:styleId="Heading1">
    <w:name w:val="heading 1"/>
    <w:basedOn w:val="Normal"/>
    <w:next w:val="Normal"/>
    <w:link w:val="Heading1Char"/>
    <w:uiPriority w:val="9"/>
    <w:qFormat/>
    <w:rsid w:val="00DB1449"/>
    <w:pPr>
      <w:keepNext/>
      <w:keepLines/>
      <w:spacing w:before="48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semiHidden/>
    <w:unhideWhenUsed/>
    <w:qFormat/>
    <w:rsid w:val="00DB1449"/>
    <w:pPr>
      <w:keepNext/>
      <w:keepLines/>
      <w:spacing w:before="200"/>
      <w:outlineLvl w:val="1"/>
    </w:pPr>
    <w:rPr>
      <w:rFonts w:eastAsiaTheme="majorEastAsia" w:cstheme="majorBidi"/>
      <w:b/>
      <w:bCs/>
      <w:color w:val="000000" w:themeColor="text1"/>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E1ABB"/>
    <w:pPr>
      <w:widowControl w:val="0"/>
      <w:spacing w:after="240"/>
      <w:ind w:firstLine="720"/>
    </w:pPr>
  </w:style>
  <w:style w:type="character" w:customStyle="1" w:styleId="BodyTextChar">
    <w:name w:val="Body Text Char"/>
    <w:basedOn w:val="DefaultParagraphFont"/>
    <w:link w:val="BodyText"/>
    <w:rsid w:val="002710C8"/>
    <w:rPr>
      <w:rFonts w:ascii="Times New Roman" w:hAnsi="Times New Roman" w:cs="Times New Roman"/>
    </w:rPr>
  </w:style>
  <w:style w:type="paragraph" w:customStyle="1" w:styleId="BodyTextContinued">
    <w:name w:val="Body Text Continued"/>
    <w:basedOn w:val="BodyText"/>
    <w:next w:val="BodyText"/>
    <w:rsid w:val="002E1ABB"/>
    <w:pPr>
      <w:ind w:firstLine="0"/>
    </w:pPr>
    <w:rPr>
      <w:szCs w:val="20"/>
    </w:rPr>
  </w:style>
  <w:style w:type="paragraph" w:styleId="Quote">
    <w:name w:val="Quote"/>
    <w:basedOn w:val="Normal"/>
    <w:next w:val="BodyTextContinued"/>
    <w:link w:val="QuoteChar"/>
    <w:qFormat/>
    <w:rsid w:val="002E1ABB"/>
    <w:pPr>
      <w:spacing w:after="240"/>
      <w:ind w:left="1440" w:right="1440"/>
    </w:pPr>
    <w:rPr>
      <w:szCs w:val="20"/>
    </w:rPr>
  </w:style>
  <w:style w:type="character" w:customStyle="1" w:styleId="QuoteChar">
    <w:name w:val="Quote Char"/>
    <w:basedOn w:val="DefaultParagraphFont"/>
    <w:link w:val="Quote"/>
    <w:rsid w:val="002710C8"/>
    <w:rPr>
      <w:rFonts w:ascii="Times New Roman" w:hAnsi="Times New Roman" w:cs="Times New Roman"/>
      <w:szCs w:val="20"/>
    </w:rPr>
  </w:style>
  <w:style w:type="paragraph" w:styleId="Header">
    <w:name w:val="header"/>
    <w:basedOn w:val="Normal"/>
    <w:link w:val="HeaderChar"/>
    <w:uiPriority w:val="99"/>
    <w:rsid w:val="002E1ABB"/>
    <w:pPr>
      <w:tabs>
        <w:tab w:val="center" w:pos="4680"/>
        <w:tab w:val="right" w:pos="9360"/>
      </w:tabs>
    </w:pPr>
  </w:style>
  <w:style w:type="character" w:customStyle="1" w:styleId="HeaderChar">
    <w:name w:val="Header Char"/>
    <w:basedOn w:val="DefaultParagraphFont"/>
    <w:link w:val="Header"/>
    <w:uiPriority w:val="99"/>
    <w:rsid w:val="002710C8"/>
    <w:rPr>
      <w:rFonts w:ascii="Times New Roman" w:hAnsi="Times New Roman" w:cs="Times New Roman"/>
    </w:rPr>
  </w:style>
  <w:style w:type="paragraph" w:styleId="Footer">
    <w:name w:val="footer"/>
    <w:basedOn w:val="Normal"/>
    <w:link w:val="FooterChar"/>
    <w:rsid w:val="002E1ABB"/>
    <w:pPr>
      <w:tabs>
        <w:tab w:val="center" w:pos="4680"/>
        <w:tab w:val="right" w:pos="9360"/>
      </w:tabs>
    </w:pPr>
  </w:style>
  <w:style w:type="character" w:customStyle="1" w:styleId="FooterChar">
    <w:name w:val="Footer Char"/>
    <w:basedOn w:val="DefaultParagraphFont"/>
    <w:link w:val="Footer"/>
    <w:rsid w:val="002710C8"/>
    <w:rPr>
      <w:rFonts w:ascii="Times New Roman" w:hAnsi="Times New Roman" w:cs="Times New Roman"/>
    </w:rPr>
  </w:style>
  <w:style w:type="character" w:styleId="PageNumber">
    <w:name w:val="page number"/>
    <w:basedOn w:val="DefaultParagraphFont"/>
    <w:rsid w:val="002E1ABB"/>
  </w:style>
  <w:style w:type="character" w:customStyle="1" w:styleId="Heading1Char">
    <w:name w:val="Heading 1 Char"/>
    <w:basedOn w:val="DefaultParagraphFont"/>
    <w:link w:val="Heading1"/>
    <w:uiPriority w:val="9"/>
    <w:rsid w:val="00DB1449"/>
    <w:rPr>
      <w:rFonts w:eastAsiaTheme="majorEastAsia" w:cstheme="majorBidi"/>
      <w:b/>
      <w:bCs/>
      <w:color w:val="000000" w:themeColor="text1"/>
      <w:szCs w:val="28"/>
    </w:rPr>
  </w:style>
  <w:style w:type="character" w:customStyle="1" w:styleId="Heading2Char">
    <w:name w:val="Heading 2 Char"/>
    <w:basedOn w:val="DefaultParagraphFont"/>
    <w:link w:val="Heading2"/>
    <w:uiPriority w:val="9"/>
    <w:semiHidden/>
    <w:rsid w:val="00DB1449"/>
    <w:rPr>
      <w:rFonts w:eastAsiaTheme="majorEastAsia" w:cstheme="majorBidi"/>
      <w:b/>
      <w:bCs/>
      <w:color w:val="000000" w:themeColor="text1"/>
      <w:szCs w:val="26"/>
      <w:u w:val="single"/>
    </w:rPr>
  </w:style>
  <w:style w:type="paragraph" w:styleId="Title">
    <w:name w:val="Title"/>
    <w:basedOn w:val="Normal"/>
    <w:next w:val="Normal"/>
    <w:link w:val="TitleChar"/>
    <w:uiPriority w:val="10"/>
    <w:qFormat/>
    <w:rsid w:val="00DB1449"/>
    <w:pPr>
      <w:pBdr>
        <w:bottom w:val="single" w:sz="8" w:space="4" w:color="auto"/>
      </w:pBdr>
      <w:spacing w:after="240"/>
      <w:contextualSpacing/>
    </w:pPr>
    <w:rPr>
      <w:rFonts w:eastAsiaTheme="majorEastAsia" w:cstheme="majorBidi"/>
      <w:spacing w:val="5"/>
      <w:kern w:val="28"/>
      <w:sz w:val="28"/>
      <w:szCs w:val="52"/>
    </w:rPr>
  </w:style>
  <w:style w:type="character" w:customStyle="1" w:styleId="TitleChar">
    <w:name w:val="Title Char"/>
    <w:basedOn w:val="DefaultParagraphFont"/>
    <w:link w:val="Title"/>
    <w:uiPriority w:val="10"/>
    <w:rsid w:val="00DB1449"/>
    <w:rPr>
      <w:rFonts w:eastAsiaTheme="majorEastAsia" w:cstheme="majorBidi"/>
      <w:spacing w:val="5"/>
      <w:kern w:val="28"/>
      <w:sz w:val="28"/>
      <w:szCs w:val="52"/>
    </w:rPr>
  </w:style>
  <w:style w:type="paragraph" w:styleId="Subtitle">
    <w:name w:val="Subtitle"/>
    <w:basedOn w:val="Normal"/>
    <w:next w:val="Normal"/>
    <w:link w:val="SubtitleChar"/>
    <w:uiPriority w:val="11"/>
    <w:qFormat/>
    <w:rsid w:val="00DB1449"/>
    <w:pPr>
      <w:numPr>
        <w:ilvl w:val="1"/>
      </w:numPr>
    </w:pPr>
    <w:rPr>
      <w:rFonts w:eastAsiaTheme="majorEastAsia" w:cstheme="majorBidi"/>
      <w:i/>
      <w:iCs/>
      <w:spacing w:val="15"/>
    </w:rPr>
  </w:style>
  <w:style w:type="character" w:customStyle="1" w:styleId="SubtitleChar">
    <w:name w:val="Subtitle Char"/>
    <w:basedOn w:val="DefaultParagraphFont"/>
    <w:link w:val="Subtitle"/>
    <w:uiPriority w:val="11"/>
    <w:rsid w:val="00DB1449"/>
    <w:rPr>
      <w:rFonts w:eastAsiaTheme="majorEastAsia" w:cstheme="majorBidi"/>
      <w:i/>
      <w:iCs/>
      <w:spacing w:val="15"/>
    </w:rPr>
  </w:style>
  <w:style w:type="character" w:styleId="SubtleEmphasis">
    <w:name w:val="Subtle Emphasis"/>
    <w:basedOn w:val="DefaultParagraphFont"/>
    <w:uiPriority w:val="19"/>
    <w:qFormat/>
    <w:rsid w:val="00DB1449"/>
    <w:rPr>
      <w:i/>
      <w:iCs/>
      <w:color w:val="808080" w:themeColor="text1" w:themeTint="7F"/>
    </w:rPr>
  </w:style>
  <w:style w:type="character" w:styleId="Emphasis">
    <w:name w:val="Emphasis"/>
    <w:basedOn w:val="DefaultParagraphFont"/>
    <w:uiPriority w:val="20"/>
    <w:qFormat/>
    <w:rsid w:val="00DB1449"/>
    <w:rPr>
      <w:i/>
      <w:iCs/>
    </w:rPr>
  </w:style>
  <w:style w:type="character" w:styleId="Strong">
    <w:name w:val="Strong"/>
    <w:basedOn w:val="DefaultParagraphFont"/>
    <w:uiPriority w:val="22"/>
    <w:qFormat/>
    <w:rsid w:val="00DB1449"/>
    <w:rPr>
      <w:b/>
      <w:bCs/>
    </w:rPr>
  </w:style>
  <w:style w:type="paragraph" w:styleId="IntenseQuote">
    <w:name w:val="Intense Quote"/>
    <w:basedOn w:val="Normal"/>
    <w:next w:val="Normal"/>
    <w:link w:val="IntenseQuoteChar"/>
    <w:uiPriority w:val="30"/>
    <w:qFormat/>
    <w:rsid w:val="00DB1449"/>
    <w:pPr>
      <w:pBdr>
        <w:bottom w:val="single" w:sz="4" w:space="4" w:color="4F81BD" w:themeColor="accent1"/>
      </w:pBdr>
      <w:spacing w:before="200" w:after="280"/>
      <w:ind w:left="936" w:right="936"/>
    </w:pPr>
    <w:rPr>
      <w:b/>
      <w:bCs/>
      <w:i/>
      <w:iCs/>
    </w:rPr>
  </w:style>
  <w:style w:type="character" w:customStyle="1" w:styleId="IntenseQuoteChar">
    <w:name w:val="Intense Quote Char"/>
    <w:basedOn w:val="DefaultParagraphFont"/>
    <w:link w:val="IntenseQuote"/>
    <w:uiPriority w:val="30"/>
    <w:rsid w:val="00DB1449"/>
    <w:rPr>
      <w:rFonts w:cs="Times New Roman"/>
      <w:b/>
      <w:bCs/>
      <w:i/>
      <w:iCs/>
    </w:rPr>
  </w:style>
  <w:style w:type="character" w:styleId="SubtleReference">
    <w:name w:val="Subtle Reference"/>
    <w:basedOn w:val="DefaultParagraphFont"/>
    <w:uiPriority w:val="31"/>
    <w:qFormat/>
    <w:rsid w:val="00DB1449"/>
    <w:rPr>
      <w:smallCaps/>
      <w:color w:val="7F7F7F" w:themeColor="text1" w:themeTint="80"/>
      <w:u w:val="single"/>
    </w:rPr>
  </w:style>
  <w:style w:type="character" w:styleId="IntenseReference">
    <w:name w:val="Intense Reference"/>
    <w:basedOn w:val="DefaultParagraphFont"/>
    <w:uiPriority w:val="32"/>
    <w:qFormat/>
    <w:rsid w:val="00DB1449"/>
    <w:rPr>
      <w:b/>
      <w:bCs/>
      <w:smallCaps/>
      <w:color w:val="7F7F7F" w:themeColor="text1" w:themeTint="80"/>
      <w:spacing w:val="5"/>
      <w:u w:val="single"/>
    </w:rPr>
  </w:style>
  <w:style w:type="character" w:styleId="BookTitle">
    <w:name w:val="Book Title"/>
    <w:basedOn w:val="DefaultParagraphFont"/>
    <w:uiPriority w:val="33"/>
    <w:qFormat/>
    <w:rsid w:val="00DB1449"/>
    <w:rPr>
      <w:b/>
      <w:bCs/>
      <w:smallCaps/>
      <w:spacing w:val="5"/>
    </w:rPr>
  </w:style>
  <w:style w:type="character" w:styleId="IntenseEmphasis">
    <w:name w:val="Intense Emphasis"/>
    <w:basedOn w:val="DefaultParagraphFont"/>
    <w:uiPriority w:val="21"/>
    <w:qFormat/>
    <w:rsid w:val="001F06A9"/>
    <w:rPr>
      <w:b/>
      <w:bCs/>
      <w:i/>
      <w:iCs/>
      <w:color w:val="auto"/>
    </w:rPr>
  </w:style>
  <w:style w:type="paragraph" w:styleId="FootnoteText">
    <w:name w:val="footnote text"/>
    <w:basedOn w:val="Normal"/>
    <w:link w:val="FootnoteTextChar"/>
    <w:uiPriority w:val="99"/>
    <w:unhideWhenUsed/>
    <w:rsid w:val="00084C9D"/>
    <w:rPr>
      <w:rFonts w:ascii="Times New Roman" w:eastAsia="Calibri" w:hAnsi="Times New Roman"/>
      <w:sz w:val="20"/>
      <w:szCs w:val="20"/>
    </w:rPr>
  </w:style>
  <w:style w:type="character" w:customStyle="1" w:styleId="FootnoteTextChar">
    <w:name w:val="Footnote Text Char"/>
    <w:basedOn w:val="DefaultParagraphFont"/>
    <w:link w:val="FootnoteText"/>
    <w:uiPriority w:val="99"/>
    <w:rsid w:val="00084C9D"/>
    <w:rPr>
      <w:rFonts w:ascii="Times New Roman" w:eastAsia="Calibri" w:hAnsi="Times New Roman" w:cs="Times New Roman"/>
      <w:sz w:val="20"/>
      <w:szCs w:val="20"/>
    </w:rPr>
  </w:style>
  <w:style w:type="character" w:styleId="FootnoteReference">
    <w:name w:val="footnote reference"/>
    <w:basedOn w:val="DefaultParagraphFont"/>
    <w:uiPriority w:val="99"/>
    <w:semiHidden/>
    <w:unhideWhenUsed/>
    <w:rsid w:val="00084C9D"/>
    <w:rPr>
      <w:vertAlign w:val="superscript"/>
    </w:rPr>
  </w:style>
  <w:style w:type="paragraph" w:styleId="BalloonText">
    <w:name w:val="Balloon Text"/>
    <w:basedOn w:val="Normal"/>
    <w:link w:val="BalloonTextChar"/>
    <w:uiPriority w:val="99"/>
    <w:semiHidden/>
    <w:unhideWhenUsed/>
    <w:rsid w:val="00084C9D"/>
    <w:rPr>
      <w:rFonts w:ascii="Tahoma" w:hAnsi="Tahoma" w:cs="Tahoma"/>
      <w:sz w:val="16"/>
      <w:szCs w:val="16"/>
    </w:rPr>
  </w:style>
  <w:style w:type="character" w:customStyle="1" w:styleId="BalloonTextChar">
    <w:name w:val="Balloon Text Char"/>
    <w:basedOn w:val="DefaultParagraphFont"/>
    <w:link w:val="BalloonText"/>
    <w:uiPriority w:val="99"/>
    <w:semiHidden/>
    <w:rsid w:val="00084C9D"/>
    <w:rPr>
      <w:rFonts w:ascii="Tahoma" w:hAnsi="Tahoma" w:cs="Tahoma"/>
      <w:sz w:val="16"/>
      <w:szCs w:val="16"/>
    </w:rPr>
  </w:style>
  <w:style w:type="character" w:customStyle="1" w:styleId="zzmpTrailerItem">
    <w:name w:val="zzmpTrailerItem"/>
    <w:rsid w:val="00FA343F"/>
    <w:rPr>
      <w:rFonts w:ascii="Arial" w:hAnsi="Arial" w:cs="Arial"/>
      <w:dstrike w:val="0"/>
      <w:noProof/>
      <w:color w:val="auto"/>
      <w:spacing w:val="0"/>
      <w:position w:val="0"/>
      <w:sz w:val="16"/>
      <w:szCs w:val="16"/>
      <w:u w:val="none"/>
      <w:effect w:val="none"/>
      <w:vertAlign w:val="baseline"/>
    </w:rPr>
  </w:style>
  <w:style w:type="character" w:styleId="CommentReference">
    <w:name w:val="annotation reference"/>
    <w:basedOn w:val="DefaultParagraphFont"/>
    <w:uiPriority w:val="99"/>
    <w:semiHidden/>
    <w:unhideWhenUsed/>
    <w:rsid w:val="00391CA9"/>
    <w:rPr>
      <w:sz w:val="16"/>
      <w:szCs w:val="16"/>
    </w:rPr>
  </w:style>
  <w:style w:type="paragraph" w:styleId="CommentText">
    <w:name w:val="annotation text"/>
    <w:basedOn w:val="Normal"/>
    <w:link w:val="CommentTextChar"/>
    <w:uiPriority w:val="99"/>
    <w:semiHidden/>
    <w:unhideWhenUsed/>
    <w:rsid w:val="00391CA9"/>
    <w:rPr>
      <w:sz w:val="20"/>
      <w:szCs w:val="20"/>
    </w:rPr>
  </w:style>
  <w:style w:type="character" w:customStyle="1" w:styleId="CommentTextChar">
    <w:name w:val="Comment Text Char"/>
    <w:basedOn w:val="DefaultParagraphFont"/>
    <w:link w:val="CommentText"/>
    <w:uiPriority w:val="99"/>
    <w:semiHidden/>
    <w:rsid w:val="00391CA9"/>
    <w:rPr>
      <w:rFonts w:cs="Times New Roman"/>
      <w:sz w:val="20"/>
      <w:szCs w:val="20"/>
    </w:rPr>
  </w:style>
  <w:style w:type="character" w:styleId="Hyperlink">
    <w:name w:val="Hyperlink"/>
    <w:basedOn w:val="DefaultParagraphFont"/>
    <w:uiPriority w:val="99"/>
    <w:unhideWhenUsed/>
    <w:rsid w:val="00171897"/>
    <w:rPr>
      <w:color w:val="0000FF" w:themeColor="hyperlink"/>
      <w:u w:val="single"/>
    </w:rPr>
  </w:style>
  <w:style w:type="character" w:customStyle="1" w:styleId="UnresolvedMention1">
    <w:name w:val="Unresolved Mention1"/>
    <w:basedOn w:val="DefaultParagraphFont"/>
    <w:uiPriority w:val="99"/>
    <w:semiHidden/>
    <w:unhideWhenUsed/>
    <w:rsid w:val="00504D90"/>
    <w:rPr>
      <w:color w:val="605E5C"/>
      <w:shd w:val="clear" w:color="auto" w:fill="E1DFDD"/>
    </w:rPr>
  </w:style>
  <w:style w:type="paragraph" w:customStyle="1" w:styleId="xxmsonormal">
    <w:name w:val="x_x_msonormal"/>
    <w:basedOn w:val="Normal"/>
    <w:uiPriority w:val="99"/>
    <w:rsid w:val="00CA328B"/>
    <w:rPr>
      <w:rFonts w:ascii="Times New Roman" w:eastAsiaTheme="minorHAnsi" w:hAnsi="Times New Roman"/>
    </w:rPr>
  </w:style>
  <w:style w:type="paragraph" w:styleId="CommentSubject">
    <w:name w:val="annotation subject"/>
    <w:basedOn w:val="CommentText"/>
    <w:next w:val="CommentText"/>
    <w:link w:val="CommentSubjectChar"/>
    <w:uiPriority w:val="99"/>
    <w:semiHidden/>
    <w:unhideWhenUsed/>
    <w:rsid w:val="000443C3"/>
    <w:rPr>
      <w:b/>
      <w:bCs/>
    </w:rPr>
  </w:style>
  <w:style w:type="character" w:customStyle="1" w:styleId="CommentSubjectChar">
    <w:name w:val="Comment Subject Char"/>
    <w:basedOn w:val="CommentTextChar"/>
    <w:link w:val="CommentSubject"/>
    <w:uiPriority w:val="99"/>
    <w:semiHidden/>
    <w:rsid w:val="000443C3"/>
    <w:rPr>
      <w:rFonts w:cs="Times New Roman"/>
      <w:b/>
      <w:bCs/>
      <w:sz w:val="20"/>
      <w:szCs w:val="20"/>
    </w:rPr>
  </w:style>
  <w:style w:type="paragraph" w:styleId="ListParagraph">
    <w:name w:val="List Paragraph"/>
    <w:basedOn w:val="Normal"/>
    <w:uiPriority w:val="34"/>
    <w:qFormat/>
    <w:rsid w:val="00922A83"/>
    <w:pPr>
      <w:ind w:left="720"/>
      <w:contextualSpacing/>
    </w:pPr>
    <w:rPr>
      <w:rFonts w:eastAsiaTheme="minorHAns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7948663">
      <w:bodyDiv w:val="1"/>
      <w:marLeft w:val="0"/>
      <w:marRight w:val="0"/>
      <w:marTop w:val="0"/>
      <w:marBottom w:val="0"/>
      <w:divBdr>
        <w:top w:val="none" w:sz="0" w:space="0" w:color="auto"/>
        <w:left w:val="none" w:sz="0" w:space="0" w:color="auto"/>
        <w:bottom w:val="none" w:sz="0" w:space="0" w:color="auto"/>
        <w:right w:val="none" w:sz="0" w:space="0" w:color="auto"/>
      </w:divBdr>
    </w:div>
    <w:div w:id="1146241421">
      <w:bodyDiv w:val="1"/>
      <w:marLeft w:val="0"/>
      <w:marRight w:val="0"/>
      <w:marTop w:val="0"/>
      <w:marBottom w:val="0"/>
      <w:divBdr>
        <w:top w:val="none" w:sz="0" w:space="0" w:color="auto"/>
        <w:left w:val="none" w:sz="0" w:space="0" w:color="auto"/>
        <w:bottom w:val="none" w:sz="0" w:space="0" w:color="auto"/>
        <w:right w:val="none" w:sz="0" w:space="0" w:color="auto"/>
      </w:divBdr>
    </w:div>
    <w:div w:id="1306932177">
      <w:bodyDiv w:val="1"/>
      <w:marLeft w:val="0"/>
      <w:marRight w:val="0"/>
      <w:marTop w:val="0"/>
      <w:marBottom w:val="0"/>
      <w:divBdr>
        <w:top w:val="none" w:sz="0" w:space="0" w:color="auto"/>
        <w:left w:val="none" w:sz="0" w:space="0" w:color="auto"/>
        <w:bottom w:val="none" w:sz="0" w:space="0" w:color="auto"/>
        <w:right w:val="none" w:sz="0" w:space="0" w:color="auto"/>
      </w:divBdr>
    </w:div>
    <w:div w:id="1351954754">
      <w:bodyDiv w:val="1"/>
      <w:marLeft w:val="0"/>
      <w:marRight w:val="0"/>
      <w:marTop w:val="0"/>
      <w:marBottom w:val="0"/>
      <w:divBdr>
        <w:top w:val="none" w:sz="0" w:space="0" w:color="auto"/>
        <w:left w:val="none" w:sz="0" w:space="0" w:color="auto"/>
        <w:bottom w:val="none" w:sz="0" w:space="0" w:color="auto"/>
        <w:right w:val="none" w:sz="0" w:space="0" w:color="auto"/>
      </w:divBdr>
    </w:div>
    <w:div w:id="1611543742">
      <w:bodyDiv w:val="1"/>
      <w:marLeft w:val="0"/>
      <w:marRight w:val="0"/>
      <w:marTop w:val="0"/>
      <w:marBottom w:val="0"/>
      <w:divBdr>
        <w:top w:val="none" w:sz="0" w:space="0" w:color="auto"/>
        <w:left w:val="none" w:sz="0" w:space="0" w:color="auto"/>
        <w:bottom w:val="none" w:sz="0" w:space="0" w:color="auto"/>
        <w:right w:val="none" w:sz="0" w:space="0" w:color="auto"/>
      </w:divBdr>
    </w:div>
    <w:div w:id="1724870438">
      <w:bodyDiv w:val="1"/>
      <w:marLeft w:val="0"/>
      <w:marRight w:val="0"/>
      <w:marTop w:val="0"/>
      <w:marBottom w:val="0"/>
      <w:divBdr>
        <w:top w:val="none" w:sz="0" w:space="0" w:color="auto"/>
        <w:left w:val="none" w:sz="0" w:space="0" w:color="auto"/>
        <w:bottom w:val="none" w:sz="0" w:space="0" w:color="auto"/>
        <w:right w:val="none" w:sz="0" w:space="0" w:color="auto"/>
      </w:divBdr>
    </w:div>
    <w:div w:id="1735857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ederalreserve.gov/publications/files/2017-report-economic-well-being-us-households-201805.pdf" TargetMode="External"/><Relationship Id="rId13" Type="http://schemas.openxmlformats.org/officeDocument/2006/relationships/hyperlink" Target="mailto:btate@ipa.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inhealthnetwork.org/research/earned-wage-access-and-direct-to-consumer-advance-usage-trend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finhealthnetwork.org/" TargetMode="External"/><Relationship Id="rId4" Type="http://schemas.openxmlformats.org/officeDocument/2006/relationships/settings" Target="settings.xml"/><Relationship Id="rId9" Type="http://schemas.openxmlformats.org/officeDocument/2006/relationships/hyperlink" Target="https://www.bls.gov/ces/publications/length-pay-period.htm"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files.consumerfinance.gov/f/documents/cfpb_advisory-opinion_earned-wage-access_2020-11.pdf" TargetMode="External"/><Relationship Id="rId2" Type="http://schemas.openxmlformats.org/officeDocument/2006/relationships/hyperlink" Target="https://www.jdsupra.com/legalnews/how-do-you-have-earned-wage-access-1909144/" TargetMode="External"/><Relationship Id="rId1" Type="http://schemas.openxmlformats.org/officeDocument/2006/relationships/hyperlink" Target="https://www.federalregister.gov/documents/2020/12/10/2020-26664/truth-in-lending-regulation-z-earned-wage-access-programs" TargetMode="External"/><Relationship Id="rId5" Type="http://schemas.openxmlformats.org/officeDocument/2006/relationships/hyperlink" Target="https://csd.wustl.edu/17-33/" TargetMode="External"/><Relationship Id="rId4" Type="http://schemas.openxmlformats.org/officeDocument/2006/relationships/hyperlink" Target="https://www.hks.harvard.edu/sites/default/files/centers/mrcbg/working.papers/88_final.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ian\AppData\Local\Microsoft\Windows\INetCache\Content.Outlook\C6HWWPST\BT%20Edit%20%232025251%20v3%20NBPCA%20Letter%20to%20Nebraska%20Legislature%20-%20Revenue%20Committee%20Regarding%20Money%20Transmitter%20Fee%20Bill%20(2.18.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5ECB9-E210-4438-844D-206769E21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BT Edit #2025251 v3 NBPCA Letter to Nebraska Legislature - Revenue Committee Regarding Money Transmitter Fee Bill (2.18.18)</Template>
  <TotalTime>1</TotalTime>
  <Pages>4</Pages>
  <Words>1224</Words>
  <Characters>6982</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Tate</dc:creator>
  <cp:keywords/>
  <dc:description/>
  <cp:lastModifiedBy>B Tate</cp:lastModifiedBy>
  <cp:revision>2</cp:revision>
  <cp:lastPrinted>2018-02-20T14:32:00Z</cp:lastPrinted>
  <dcterms:created xsi:type="dcterms:W3CDTF">2021-07-12T19:44:00Z</dcterms:created>
  <dcterms:modified xsi:type="dcterms:W3CDTF">2021-07-12T19:44:00Z</dcterms:modified>
</cp:coreProperties>
</file>