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529E9" w14:textId="77777777" w:rsidR="00584744" w:rsidRPr="00584744" w:rsidRDefault="00584744" w:rsidP="00584744">
      <w:pPr>
        <w:jc w:val="both"/>
        <w:rPr>
          <w:rFonts w:ascii="Times New Roman" w:eastAsia="Calibri" w:hAnsi="Times New Roman" w:cs="Times New Roman"/>
        </w:rPr>
      </w:pPr>
      <w:r>
        <w:rPr>
          <w:rFonts w:ascii="Times New Roman" w:eastAsia="Calibri" w:hAnsi="Times New Roman" w:cs="Times New Roman"/>
        </w:rPr>
        <w:t>February __</w:t>
      </w:r>
      <w:r w:rsidRPr="00584744">
        <w:rPr>
          <w:rFonts w:ascii="Times New Roman" w:eastAsia="Calibri" w:hAnsi="Times New Roman" w:cs="Times New Roman"/>
        </w:rPr>
        <w:t>, 202</w:t>
      </w:r>
      <w:r>
        <w:rPr>
          <w:rFonts w:ascii="Times New Roman" w:eastAsia="Calibri" w:hAnsi="Times New Roman" w:cs="Times New Roman"/>
        </w:rPr>
        <w:t>1</w:t>
      </w:r>
    </w:p>
    <w:p w14:paraId="6B05AEF3" w14:textId="77777777" w:rsidR="00584744" w:rsidRPr="00584744" w:rsidRDefault="00584744" w:rsidP="00584744">
      <w:pPr>
        <w:jc w:val="both"/>
        <w:rPr>
          <w:rFonts w:ascii="Times New Roman" w:eastAsia="Calibri" w:hAnsi="Times New Roman" w:cs="Times New Roman"/>
        </w:rPr>
      </w:pPr>
    </w:p>
    <w:p w14:paraId="5415A247" w14:textId="77777777" w:rsidR="00584744" w:rsidRPr="00584744" w:rsidRDefault="00584744" w:rsidP="00584744">
      <w:pPr>
        <w:jc w:val="both"/>
        <w:rPr>
          <w:rFonts w:ascii="Times New Roman" w:eastAsia="Calibri" w:hAnsi="Times New Roman" w:cs="Times New Roman"/>
          <w:b/>
        </w:rPr>
      </w:pPr>
      <w:r w:rsidRPr="00584744">
        <w:rPr>
          <w:rFonts w:ascii="Times New Roman" w:eastAsia="Calibri" w:hAnsi="Times New Roman" w:cs="Times New Roman"/>
          <w:b/>
        </w:rPr>
        <w:t xml:space="preserve">Submitted via E-Mail at: </w:t>
      </w:r>
      <w:hyperlink r:id="rId8" w:history="1">
        <w:r w:rsidRPr="00674608">
          <w:rPr>
            <w:rStyle w:val="Hyperlink"/>
            <w:rFonts w:ascii="Times New Roman" w:hAnsi="Times New Roman" w:cs="Times New Roman"/>
          </w:rPr>
          <w:t>matthew.j.eichner@frb.gov</w:t>
        </w:r>
      </w:hyperlink>
      <w:r w:rsidRPr="00674608">
        <w:rPr>
          <w:rFonts w:ascii="Times New Roman" w:hAnsi="Times New Roman" w:cs="Times New Roman"/>
        </w:rPr>
        <w:t xml:space="preserve"> </w:t>
      </w:r>
    </w:p>
    <w:p w14:paraId="5CFF5D53" w14:textId="77777777" w:rsidR="00584744" w:rsidRPr="00584744" w:rsidRDefault="00584744" w:rsidP="00584744">
      <w:pPr>
        <w:jc w:val="both"/>
        <w:rPr>
          <w:rFonts w:ascii="Times New Roman" w:eastAsia="Times New Roman" w:hAnsi="Times New Roman" w:cs="Times New Roman"/>
        </w:rPr>
      </w:pPr>
    </w:p>
    <w:p w14:paraId="4BAC29B2" w14:textId="77777777" w:rsidR="00584744" w:rsidRPr="00584744" w:rsidRDefault="00584744" w:rsidP="00584744">
      <w:pPr>
        <w:ind w:left="720" w:hanging="720"/>
        <w:jc w:val="both"/>
        <w:rPr>
          <w:rFonts w:ascii="Times New Roman" w:eastAsia="Calibri" w:hAnsi="Times New Roman" w:cs="Times New Roman"/>
        </w:rPr>
      </w:pPr>
      <w:r w:rsidRPr="00674608">
        <w:rPr>
          <w:rFonts w:ascii="Times New Roman" w:eastAsia="Calibri" w:hAnsi="Times New Roman" w:cs="Times New Roman"/>
        </w:rPr>
        <w:t>Matthew J. Eichner</w:t>
      </w:r>
    </w:p>
    <w:p w14:paraId="26C864C3" w14:textId="77777777" w:rsidR="00584744" w:rsidRDefault="00584744" w:rsidP="00584744">
      <w:pPr>
        <w:ind w:left="720" w:hanging="720"/>
        <w:jc w:val="both"/>
        <w:rPr>
          <w:rFonts w:ascii="Times New Roman" w:eastAsia="Calibri" w:hAnsi="Times New Roman" w:cs="Times New Roman"/>
        </w:rPr>
      </w:pPr>
      <w:r w:rsidRPr="00674608">
        <w:rPr>
          <w:rFonts w:ascii="Times New Roman" w:eastAsia="Calibri" w:hAnsi="Times New Roman" w:cs="Times New Roman"/>
        </w:rPr>
        <w:t>Director – Division of Reserve Bank Operations and Payment</w:t>
      </w:r>
      <w:r>
        <w:rPr>
          <w:rFonts w:ascii="Times New Roman" w:eastAsia="Calibri" w:hAnsi="Times New Roman" w:cs="Times New Roman"/>
        </w:rPr>
        <w:t xml:space="preserve"> Systems</w:t>
      </w:r>
    </w:p>
    <w:p w14:paraId="70CE512C" w14:textId="77777777" w:rsidR="00584744" w:rsidRDefault="00584744" w:rsidP="00584744">
      <w:pPr>
        <w:ind w:left="720" w:hanging="720"/>
        <w:jc w:val="both"/>
        <w:rPr>
          <w:rFonts w:ascii="Times New Roman" w:eastAsia="Calibri" w:hAnsi="Times New Roman" w:cs="Times New Roman"/>
        </w:rPr>
      </w:pPr>
      <w:r>
        <w:rPr>
          <w:rFonts w:ascii="Times New Roman" w:eastAsia="Calibri" w:hAnsi="Times New Roman" w:cs="Times New Roman"/>
        </w:rPr>
        <w:t>Board of Governors of the Federal Reserve System</w:t>
      </w:r>
    </w:p>
    <w:p w14:paraId="360CF800" w14:textId="77777777" w:rsidR="00584744" w:rsidRDefault="00584744" w:rsidP="00584744">
      <w:pPr>
        <w:ind w:left="720" w:hanging="720"/>
        <w:jc w:val="both"/>
        <w:rPr>
          <w:rFonts w:ascii="Times New Roman" w:eastAsia="Calibri" w:hAnsi="Times New Roman" w:cs="Times New Roman"/>
        </w:rPr>
      </w:pPr>
      <w:r>
        <w:rPr>
          <w:rFonts w:ascii="Times New Roman" w:eastAsia="Calibri" w:hAnsi="Times New Roman" w:cs="Times New Roman"/>
        </w:rPr>
        <w:t>20</w:t>
      </w:r>
      <w:r w:rsidRPr="00584744">
        <w:rPr>
          <w:rFonts w:ascii="Times New Roman" w:eastAsia="Calibri" w:hAnsi="Times New Roman" w:cs="Times New Roman"/>
          <w:vertAlign w:val="superscript"/>
        </w:rPr>
        <w:t>th</w:t>
      </w:r>
      <w:r>
        <w:rPr>
          <w:rFonts w:ascii="Times New Roman" w:eastAsia="Calibri" w:hAnsi="Times New Roman" w:cs="Times New Roman"/>
        </w:rPr>
        <w:t xml:space="preserve"> Street and Constitution Avenue NW</w:t>
      </w:r>
    </w:p>
    <w:p w14:paraId="2A92EAF2" w14:textId="77777777" w:rsidR="00584744" w:rsidRPr="00584744" w:rsidRDefault="00584744" w:rsidP="00584744">
      <w:pPr>
        <w:ind w:left="720" w:hanging="720"/>
        <w:jc w:val="both"/>
        <w:rPr>
          <w:rFonts w:ascii="Times New Roman" w:eastAsia="Calibri" w:hAnsi="Times New Roman" w:cs="Times New Roman"/>
        </w:rPr>
      </w:pPr>
      <w:r>
        <w:rPr>
          <w:rFonts w:ascii="Times New Roman" w:eastAsia="Calibri" w:hAnsi="Times New Roman" w:cs="Times New Roman"/>
        </w:rPr>
        <w:t>Washington, D.C. 20551</w:t>
      </w:r>
    </w:p>
    <w:p w14:paraId="614C22AC" w14:textId="77777777" w:rsidR="00584744" w:rsidRPr="00584744" w:rsidRDefault="00584744" w:rsidP="00584744">
      <w:pPr>
        <w:ind w:left="720" w:hanging="720"/>
        <w:jc w:val="both"/>
        <w:rPr>
          <w:rFonts w:ascii="Times New Roman" w:eastAsia="Calibri" w:hAnsi="Times New Roman" w:cs="Times New Roman"/>
        </w:rPr>
      </w:pPr>
    </w:p>
    <w:p w14:paraId="40DB1BBE" w14:textId="77777777" w:rsidR="00584744" w:rsidRPr="00584744" w:rsidRDefault="00584744" w:rsidP="00584744">
      <w:pPr>
        <w:ind w:left="1440" w:hanging="720"/>
        <w:jc w:val="both"/>
        <w:rPr>
          <w:rFonts w:ascii="Times New Roman" w:eastAsia="Calibri" w:hAnsi="Times New Roman" w:cs="Times New Roman"/>
        </w:rPr>
      </w:pPr>
      <w:r w:rsidRPr="00584744">
        <w:rPr>
          <w:rFonts w:ascii="Times New Roman" w:eastAsia="Calibri" w:hAnsi="Times New Roman" w:cs="Times New Roman"/>
        </w:rPr>
        <w:t xml:space="preserve">Re: </w:t>
      </w:r>
      <w:r w:rsidRPr="00584744">
        <w:rPr>
          <w:rFonts w:ascii="Times New Roman" w:eastAsia="Calibri" w:hAnsi="Times New Roman" w:cs="Times New Roman"/>
        </w:rPr>
        <w:tab/>
      </w:r>
      <w:r>
        <w:rPr>
          <w:rFonts w:ascii="Times New Roman" w:eastAsia="Calibri" w:hAnsi="Times New Roman" w:cs="Times New Roman"/>
        </w:rPr>
        <w:t>Regulation II</w:t>
      </w:r>
    </w:p>
    <w:p w14:paraId="30C41A25" w14:textId="77777777" w:rsidR="00584744" w:rsidRPr="00584744" w:rsidRDefault="00584744" w:rsidP="00584744">
      <w:pPr>
        <w:jc w:val="both"/>
        <w:rPr>
          <w:rFonts w:ascii="Times New Roman" w:eastAsia="Calibri" w:hAnsi="Times New Roman" w:cs="Times New Roman"/>
        </w:rPr>
      </w:pPr>
    </w:p>
    <w:p w14:paraId="6E2BDA46" w14:textId="77777777" w:rsidR="00584744" w:rsidRPr="00584744" w:rsidRDefault="00584744" w:rsidP="00584744">
      <w:pPr>
        <w:jc w:val="both"/>
        <w:rPr>
          <w:rFonts w:ascii="Times New Roman" w:eastAsia="Calibri" w:hAnsi="Times New Roman" w:cs="Times New Roman"/>
        </w:rPr>
      </w:pPr>
      <w:r>
        <w:rPr>
          <w:rFonts w:ascii="Times New Roman" w:eastAsia="Calibri" w:hAnsi="Times New Roman" w:cs="Times New Roman"/>
        </w:rPr>
        <w:t>Dear Mr. Eichner</w:t>
      </w:r>
      <w:r w:rsidRPr="00584744">
        <w:rPr>
          <w:rFonts w:ascii="Times New Roman" w:eastAsia="Calibri" w:hAnsi="Times New Roman" w:cs="Times New Roman"/>
        </w:rPr>
        <w:t xml:space="preserve">: </w:t>
      </w:r>
    </w:p>
    <w:p w14:paraId="2361B1A8" w14:textId="77777777" w:rsidR="00584744" w:rsidRPr="00584744" w:rsidRDefault="00584744" w:rsidP="00584744">
      <w:pPr>
        <w:jc w:val="both"/>
        <w:rPr>
          <w:rFonts w:ascii="Times New Roman" w:eastAsia="Calibri" w:hAnsi="Times New Roman" w:cs="Times New Roman"/>
        </w:rPr>
      </w:pPr>
      <w:r w:rsidRPr="00584744">
        <w:rPr>
          <w:rFonts w:ascii="Times New Roman" w:eastAsia="Calibri" w:hAnsi="Times New Roman" w:cs="Times New Roman"/>
        </w:rPr>
        <w:t xml:space="preserve"> </w:t>
      </w:r>
    </w:p>
    <w:p w14:paraId="75E9482E" w14:textId="77777777" w:rsidR="002C6F34" w:rsidRDefault="00584744" w:rsidP="002C6F34">
      <w:pPr>
        <w:ind w:firstLine="720"/>
        <w:jc w:val="both"/>
        <w:rPr>
          <w:rFonts w:ascii="Times New Roman" w:eastAsia="Calibri" w:hAnsi="Times New Roman" w:cs="Times New Roman"/>
        </w:rPr>
      </w:pPr>
      <w:r w:rsidRPr="00584744">
        <w:rPr>
          <w:rFonts w:ascii="Times New Roman" w:eastAsia="Calibri" w:hAnsi="Times New Roman" w:cs="Times New Roman"/>
        </w:rPr>
        <w:t xml:space="preserve">This letter is submitted to the </w:t>
      </w:r>
      <w:r>
        <w:rPr>
          <w:rFonts w:ascii="Times New Roman" w:eastAsia="Calibri" w:hAnsi="Times New Roman" w:cs="Times New Roman"/>
        </w:rPr>
        <w:t>Board of Governors of the Federal Reserve</w:t>
      </w:r>
      <w:r w:rsidRPr="00584744">
        <w:rPr>
          <w:rFonts w:ascii="Times New Roman" w:eastAsia="Calibri" w:hAnsi="Times New Roman" w:cs="Times New Roman"/>
        </w:rPr>
        <w:t xml:space="preserve"> (the "</w:t>
      </w:r>
      <w:r>
        <w:rPr>
          <w:rFonts w:ascii="Times New Roman" w:eastAsia="Calibri" w:hAnsi="Times New Roman" w:cs="Times New Roman"/>
        </w:rPr>
        <w:t>Board</w:t>
      </w:r>
      <w:r w:rsidRPr="00584744">
        <w:rPr>
          <w:rFonts w:ascii="Times New Roman" w:eastAsia="Calibri" w:hAnsi="Times New Roman" w:cs="Times New Roman"/>
        </w:rPr>
        <w:t xml:space="preserve">") on behalf of the </w:t>
      </w:r>
      <w:r w:rsidR="00BA547C">
        <w:rPr>
          <w:rFonts w:ascii="Times New Roman" w:eastAsia="Calibri" w:hAnsi="Times New Roman" w:cs="Times New Roman"/>
        </w:rPr>
        <w:t>Innovative Payments Association</w:t>
      </w:r>
      <w:r w:rsidR="00F31802">
        <w:rPr>
          <w:rFonts w:ascii="Times New Roman" w:eastAsia="Calibri" w:hAnsi="Times New Roman" w:cs="Times New Roman"/>
        </w:rPr>
        <w:t xml:space="preserve"> ("IPA")</w:t>
      </w:r>
      <w:r w:rsidR="00BA547C">
        <w:rPr>
          <w:rFonts w:ascii="Times New Roman" w:eastAsia="Calibri" w:hAnsi="Times New Roman" w:cs="Times New Roman"/>
        </w:rPr>
        <w:t>.</w:t>
      </w:r>
      <w:r w:rsidRPr="00584744">
        <w:rPr>
          <w:rFonts w:ascii="Times New Roman" w:eastAsia="Calibri" w:hAnsi="Times New Roman" w:cs="Times New Roman"/>
          <w:vertAlign w:val="superscript"/>
        </w:rPr>
        <w:footnoteReference w:id="1"/>
      </w:r>
      <w:r w:rsidR="00E54AAE">
        <w:rPr>
          <w:rFonts w:ascii="Times New Roman" w:eastAsia="Calibri" w:hAnsi="Times New Roman" w:cs="Times New Roman"/>
        </w:rPr>
        <w:t xml:space="preserve"> </w:t>
      </w:r>
      <w:r w:rsidR="00755A25">
        <w:rPr>
          <w:rFonts w:ascii="Times New Roman" w:eastAsia="Calibri" w:hAnsi="Times New Roman" w:cs="Times New Roman"/>
        </w:rPr>
        <w:t>The IPA understand</w:t>
      </w:r>
      <w:r w:rsidR="008666DC">
        <w:rPr>
          <w:rFonts w:ascii="Times New Roman" w:eastAsia="Calibri" w:hAnsi="Times New Roman" w:cs="Times New Roman"/>
        </w:rPr>
        <w:t>s</w:t>
      </w:r>
      <w:r w:rsidR="00755A25">
        <w:rPr>
          <w:rFonts w:ascii="Times New Roman" w:eastAsia="Calibri" w:hAnsi="Times New Roman" w:cs="Times New Roman"/>
        </w:rPr>
        <w:t xml:space="preserve"> that, given the pace of technological innovation </w:t>
      </w:r>
      <w:r w:rsidR="00BF276F">
        <w:rPr>
          <w:rFonts w:ascii="Times New Roman" w:eastAsia="Calibri" w:hAnsi="Times New Roman" w:cs="Times New Roman"/>
        </w:rPr>
        <w:t xml:space="preserve">and growth </w:t>
      </w:r>
      <w:r w:rsidR="00755A25">
        <w:rPr>
          <w:rFonts w:ascii="Times New Roman" w:eastAsia="Calibri" w:hAnsi="Times New Roman" w:cs="Times New Roman"/>
        </w:rPr>
        <w:t xml:space="preserve">within the financial services industry, the Board may </w:t>
      </w:r>
      <w:r w:rsidR="00BF276F">
        <w:rPr>
          <w:rFonts w:ascii="Times New Roman" w:eastAsia="Calibri" w:hAnsi="Times New Roman" w:cs="Times New Roman"/>
        </w:rPr>
        <w:t>consider revisiting</w:t>
      </w:r>
      <w:r w:rsidR="00755A25">
        <w:rPr>
          <w:rFonts w:ascii="Times New Roman" w:eastAsia="Calibri" w:hAnsi="Times New Roman" w:cs="Times New Roman"/>
        </w:rPr>
        <w:t xml:space="preserve"> one or more regulations</w:t>
      </w:r>
      <w:r w:rsidR="00BF276F">
        <w:rPr>
          <w:rFonts w:ascii="Times New Roman" w:eastAsia="Calibri" w:hAnsi="Times New Roman" w:cs="Times New Roman"/>
        </w:rPr>
        <w:t xml:space="preserve"> under its rulemaking authority</w:t>
      </w:r>
      <w:r w:rsidR="00E053CB">
        <w:rPr>
          <w:rFonts w:ascii="Times New Roman" w:eastAsia="Calibri" w:hAnsi="Times New Roman" w:cs="Times New Roman"/>
        </w:rPr>
        <w:t>.</w:t>
      </w:r>
      <w:r w:rsidR="00323031">
        <w:rPr>
          <w:rFonts w:ascii="Times New Roman" w:eastAsia="Calibri" w:hAnsi="Times New Roman" w:cs="Times New Roman"/>
        </w:rPr>
        <w:t xml:space="preserve"> </w:t>
      </w:r>
      <w:r w:rsidR="00755A25">
        <w:rPr>
          <w:rFonts w:ascii="Times New Roman" w:eastAsia="Calibri" w:hAnsi="Times New Roman" w:cs="Times New Roman"/>
        </w:rPr>
        <w:t>Our members</w:t>
      </w:r>
      <w:r w:rsidR="00E54AAE">
        <w:rPr>
          <w:rFonts w:ascii="Times New Roman" w:eastAsia="Calibri" w:hAnsi="Times New Roman" w:cs="Times New Roman"/>
        </w:rPr>
        <w:t xml:space="preserve"> appreciate the opportunity to submit comments to the Board for its consideration with respect to the exercise of its rulemaking authority under the Dodd-Frank Wall Street Reform and Consumer Protection Act ("Dodd-Frank Act")</w:t>
      </w:r>
      <w:r w:rsidR="006A331A">
        <w:rPr>
          <w:rFonts w:ascii="Times New Roman" w:eastAsia="Calibri" w:hAnsi="Times New Roman" w:cs="Times New Roman"/>
        </w:rPr>
        <w:t>, as contained in Section 920 to the Electronic Fund Transfer Act ("EFTA"), and implemented through the Federal Reserve Board Regulation II ("Regulation II").</w:t>
      </w:r>
      <w:r w:rsidR="006A331A">
        <w:rPr>
          <w:rStyle w:val="FootnoteReference"/>
          <w:rFonts w:ascii="Times New Roman" w:eastAsia="Calibri" w:hAnsi="Times New Roman" w:cs="Times New Roman"/>
        </w:rPr>
        <w:footnoteReference w:id="2"/>
      </w:r>
      <w:r w:rsidR="006105A9">
        <w:rPr>
          <w:rFonts w:ascii="Times New Roman" w:eastAsia="Calibri" w:hAnsi="Times New Roman" w:cs="Times New Roman"/>
        </w:rPr>
        <w:t xml:space="preserve"> </w:t>
      </w:r>
      <w:r w:rsidR="00BF276F">
        <w:rPr>
          <w:rFonts w:ascii="Times New Roman" w:eastAsia="Calibri" w:hAnsi="Times New Roman" w:cs="Times New Roman"/>
        </w:rPr>
        <w:t xml:space="preserve">In particular, for the reasons discussed below, our members </w:t>
      </w:r>
      <w:r w:rsidR="00C66D50">
        <w:rPr>
          <w:rFonts w:ascii="Times New Roman" w:eastAsia="Calibri" w:hAnsi="Times New Roman" w:cs="Times New Roman"/>
        </w:rPr>
        <w:t>believe that</w:t>
      </w:r>
      <w:r w:rsidR="00BF276F">
        <w:rPr>
          <w:rFonts w:ascii="Times New Roman" w:eastAsia="Calibri" w:hAnsi="Times New Roman" w:cs="Times New Roman"/>
        </w:rPr>
        <w:t xml:space="preserve"> any change to Regulation II and the common understanding of how its provisions apply</w:t>
      </w:r>
      <w:r w:rsidR="00F1681B">
        <w:rPr>
          <w:rFonts w:ascii="Times New Roman" w:eastAsia="Calibri" w:hAnsi="Times New Roman" w:cs="Times New Roman"/>
        </w:rPr>
        <w:t xml:space="preserve"> would have a significant impact</w:t>
      </w:r>
      <w:r w:rsidR="00323031">
        <w:rPr>
          <w:rFonts w:ascii="Times New Roman" w:eastAsia="Calibri" w:hAnsi="Times New Roman" w:cs="Times New Roman"/>
        </w:rPr>
        <w:t xml:space="preserve"> on</w:t>
      </w:r>
      <w:r w:rsidR="00BF276F">
        <w:rPr>
          <w:rFonts w:ascii="Times New Roman" w:eastAsia="Calibri" w:hAnsi="Times New Roman" w:cs="Times New Roman"/>
        </w:rPr>
        <w:t xml:space="preserve"> </w:t>
      </w:r>
      <w:r w:rsidR="00F1681B">
        <w:rPr>
          <w:rFonts w:ascii="Times New Roman" w:eastAsia="Calibri" w:hAnsi="Times New Roman" w:cs="Times New Roman"/>
        </w:rPr>
        <w:t xml:space="preserve">the financial services industry and </w:t>
      </w:r>
      <w:r w:rsidR="00BF276F">
        <w:rPr>
          <w:rFonts w:ascii="Times New Roman" w:eastAsia="Calibri" w:hAnsi="Times New Roman" w:cs="Times New Roman"/>
        </w:rPr>
        <w:t xml:space="preserve">should </w:t>
      </w:r>
      <w:r w:rsidR="00F1681B">
        <w:rPr>
          <w:rFonts w:ascii="Times New Roman" w:eastAsia="Calibri" w:hAnsi="Times New Roman" w:cs="Times New Roman"/>
        </w:rPr>
        <w:t xml:space="preserve">therefore only </w:t>
      </w:r>
      <w:r w:rsidR="00BF276F">
        <w:rPr>
          <w:rFonts w:ascii="Times New Roman" w:eastAsia="Calibri" w:hAnsi="Times New Roman" w:cs="Times New Roman"/>
        </w:rPr>
        <w:t>be made through an open and transparent process that allows for public comment and debate.</w:t>
      </w:r>
    </w:p>
    <w:p w14:paraId="1182F7DD" w14:textId="77777777" w:rsidR="002C6F34" w:rsidRDefault="002C6F34" w:rsidP="002C6F34">
      <w:pPr>
        <w:ind w:firstLine="720"/>
        <w:jc w:val="both"/>
        <w:rPr>
          <w:rFonts w:ascii="Times New Roman" w:eastAsia="Calibri" w:hAnsi="Times New Roman" w:cs="Times New Roman"/>
        </w:rPr>
      </w:pPr>
    </w:p>
    <w:p w14:paraId="686B832B" w14:textId="77777777" w:rsidR="006105A9" w:rsidRDefault="006105A9" w:rsidP="00584744">
      <w:pPr>
        <w:ind w:firstLine="720"/>
        <w:jc w:val="both"/>
        <w:rPr>
          <w:rFonts w:ascii="Times New Roman" w:eastAsia="Calibri" w:hAnsi="Times New Roman" w:cs="Times New Roman"/>
        </w:rPr>
      </w:pPr>
      <w:r>
        <w:rPr>
          <w:rFonts w:ascii="Times New Roman" w:eastAsia="Calibri" w:hAnsi="Times New Roman" w:cs="Times New Roman"/>
        </w:rPr>
        <w:t xml:space="preserve">Payments services have seen remarkable growth since </w:t>
      </w:r>
      <w:r w:rsidR="00C32F70">
        <w:rPr>
          <w:rFonts w:ascii="Times New Roman" w:eastAsia="Calibri" w:hAnsi="Times New Roman" w:cs="Times New Roman"/>
        </w:rPr>
        <w:t xml:space="preserve">the Board issued Regulation II in 2011. </w:t>
      </w:r>
      <w:r w:rsidR="00227601">
        <w:rPr>
          <w:rFonts w:ascii="Times New Roman" w:eastAsia="Calibri" w:hAnsi="Times New Roman" w:cs="Times New Roman"/>
        </w:rPr>
        <w:t>The prepaid account industry</w:t>
      </w:r>
      <w:r w:rsidR="00C66D50">
        <w:rPr>
          <w:rFonts w:ascii="Times New Roman" w:eastAsia="Calibri" w:hAnsi="Times New Roman" w:cs="Times New Roman"/>
        </w:rPr>
        <w:t xml:space="preserve"> –</w:t>
      </w:r>
      <w:r w:rsidR="00227601">
        <w:rPr>
          <w:rFonts w:ascii="Times New Roman" w:eastAsia="Calibri" w:hAnsi="Times New Roman" w:cs="Times New Roman"/>
        </w:rPr>
        <w:t xml:space="preserve"> of which many of our members are involved</w:t>
      </w:r>
      <w:r w:rsidR="00C66D50">
        <w:rPr>
          <w:rFonts w:ascii="Times New Roman" w:eastAsia="Calibri" w:hAnsi="Times New Roman" w:cs="Times New Roman"/>
        </w:rPr>
        <w:t xml:space="preserve"> as issuers, program managers, processors, and other service providers – </w:t>
      </w:r>
      <w:r w:rsidR="00227601">
        <w:rPr>
          <w:rFonts w:ascii="Times New Roman" w:eastAsia="Calibri" w:hAnsi="Times New Roman" w:cs="Times New Roman"/>
        </w:rPr>
        <w:t>has seen</w:t>
      </w:r>
      <w:r w:rsidR="00C66D50">
        <w:rPr>
          <w:rFonts w:ascii="Times New Roman" w:eastAsia="Calibri" w:hAnsi="Times New Roman" w:cs="Times New Roman"/>
        </w:rPr>
        <w:t xml:space="preserve"> especially</w:t>
      </w:r>
      <w:r w:rsidR="00227601">
        <w:rPr>
          <w:rFonts w:ascii="Times New Roman" w:eastAsia="Calibri" w:hAnsi="Times New Roman" w:cs="Times New Roman"/>
        </w:rPr>
        <w:t xml:space="preserve"> rapid growth in this time period.</w:t>
      </w:r>
      <w:r w:rsidR="00227601">
        <w:rPr>
          <w:rStyle w:val="FootnoteReference"/>
          <w:rFonts w:ascii="Times New Roman" w:eastAsia="Calibri" w:hAnsi="Times New Roman" w:cs="Times New Roman"/>
        </w:rPr>
        <w:footnoteReference w:id="3"/>
      </w:r>
      <w:r w:rsidR="00227601">
        <w:rPr>
          <w:rFonts w:ascii="Times New Roman" w:eastAsia="Calibri" w:hAnsi="Times New Roman" w:cs="Times New Roman"/>
        </w:rPr>
        <w:t xml:space="preserve"> </w:t>
      </w:r>
      <w:r w:rsidR="00DE53FE">
        <w:rPr>
          <w:rFonts w:ascii="Times New Roman" w:eastAsia="Calibri" w:hAnsi="Times New Roman" w:cs="Times New Roman"/>
        </w:rPr>
        <w:t>Th</w:t>
      </w:r>
      <w:r w:rsidR="00C66D50">
        <w:rPr>
          <w:rFonts w:ascii="Times New Roman" w:eastAsia="Calibri" w:hAnsi="Times New Roman" w:cs="Times New Roman"/>
        </w:rPr>
        <w:t>e</w:t>
      </w:r>
      <w:r w:rsidR="00DE53FE">
        <w:rPr>
          <w:rFonts w:ascii="Times New Roman" w:eastAsia="Calibri" w:hAnsi="Times New Roman" w:cs="Times New Roman"/>
        </w:rPr>
        <w:t xml:space="preserve"> growth</w:t>
      </w:r>
      <w:r w:rsidR="00C66D50">
        <w:rPr>
          <w:rFonts w:ascii="Times New Roman" w:eastAsia="Calibri" w:hAnsi="Times New Roman" w:cs="Times New Roman"/>
        </w:rPr>
        <w:t xml:space="preserve"> of prepaid account </w:t>
      </w:r>
      <w:r w:rsidR="00042EA5">
        <w:rPr>
          <w:rFonts w:ascii="Times New Roman" w:eastAsia="Calibri" w:hAnsi="Times New Roman" w:cs="Times New Roman"/>
        </w:rPr>
        <w:t xml:space="preserve">products </w:t>
      </w:r>
      <w:r w:rsidR="00DE53FE">
        <w:rPr>
          <w:rFonts w:ascii="Times New Roman" w:eastAsia="Calibri" w:hAnsi="Times New Roman" w:cs="Times New Roman"/>
        </w:rPr>
        <w:t>is attributable to the significant bene</w:t>
      </w:r>
      <w:r w:rsidR="00755A25">
        <w:rPr>
          <w:rFonts w:ascii="Times New Roman" w:eastAsia="Calibri" w:hAnsi="Times New Roman" w:cs="Times New Roman"/>
        </w:rPr>
        <w:t xml:space="preserve">fits </w:t>
      </w:r>
      <w:r w:rsidR="00042EA5">
        <w:rPr>
          <w:rFonts w:ascii="Times New Roman" w:eastAsia="Calibri" w:hAnsi="Times New Roman" w:cs="Times New Roman"/>
        </w:rPr>
        <w:lastRenderedPageBreak/>
        <w:t>these</w:t>
      </w:r>
      <w:r w:rsidR="00755A25">
        <w:rPr>
          <w:rFonts w:ascii="Times New Roman" w:eastAsia="Calibri" w:hAnsi="Times New Roman" w:cs="Times New Roman"/>
        </w:rPr>
        <w:t xml:space="preserve"> products provide</w:t>
      </w:r>
      <w:r w:rsidR="00DE53FE">
        <w:rPr>
          <w:rFonts w:ascii="Times New Roman" w:eastAsia="Calibri" w:hAnsi="Times New Roman" w:cs="Times New Roman"/>
        </w:rPr>
        <w:t xml:space="preserve"> to the </w:t>
      </w:r>
      <w:r w:rsidR="00755A25">
        <w:rPr>
          <w:rFonts w:ascii="Times New Roman" w:eastAsia="Calibri" w:hAnsi="Times New Roman" w:cs="Times New Roman"/>
        </w:rPr>
        <w:t xml:space="preserve">financial services </w:t>
      </w:r>
      <w:r w:rsidR="00DE53FE">
        <w:rPr>
          <w:rFonts w:ascii="Times New Roman" w:eastAsia="Calibri" w:hAnsi="Times New Roman" w:cs="Times New Roman"/>
        </w:rPr>
        <w:t>marketplace and to consumers in particular.</w:t>
      </w:r>
      <w:r w:rsidR="00DE53FE" w:rsidRPr="00DE53FE">
        <w:t xml:space="preserve"> </w:t>
      </w:r>
      <w:r w:rsidR="00DE53FE" w:rsidRPr="00DE53FE">
        <w:rPr>
          <w:rFonts w:ascii="Times New Roman" w:hAnsi="Times New Roman" w:cs="Times New Roman"/>
        </w:rPr>
        <w:t xml:space="preserve">Prepaid accounts have </w:t>
      </w:r>
      <w:r w:rsidR="00DE53FE">
        <w:rPr>
          <w:rFonts w:ascii="Times New Roman" w:hAnsi="Times New Roman" w:cs="Times New Roman"/>
        </w:rPr>
        <w:t>proven</w:t>
      </w:r>
      <w:r w:rsidR="00DE53FE" w:rsidRPr="00DE53FE">
        <w:rPr>
          <w:rFonts w:ascii="Times New Roman" w:hAnsi="Times New Roman" w:cs="Times New Roman"/>
        </w:rPr>
        <w:t xml:space="preserve"> to be v</w:t>
      </w:r>
      <w:r w:rsidR="00DE53FE" w:rsidRPr="00DE53FE">
        <w:rPr>
          <w:rFonts w:ascii="Times New Roman" w:eastAsia="Calibri" w:hAnsi="Times New Roman" w:cs="Times New Roman"/>
        </w:rPr>
        <w:t>aluable</w:t>
      </w:r>
      <w:r w:rsidR="00C66D50">
        <w:rPr>
          <w:rFonts w:ascii="Times New Roman" w:eastAsia="Calibri" w:hAnsi="Times New Roman" w:cs="Times New Roman"/>
        </w:rPr>
        <w:t xml:space="preserve"> and innovative</w:t>
      </w:r>
      <w:r w:rsidR="00DE53FE" w:rsidRPr="00DE53FE">
        <w:rPr>
          <w:rFonts w:ascii="Times New Roman" w:eastAsia="Calibri" w:hAnsi="Times New Roman" w:cs="Times New Roman"/>
        </w:rPr>
        <w:t xml:space="preserve"> products used by a number of types of individual consumers and organizations (e.g., state and federal governments, universities and corporations) to make a wide variety of payments including government benefits, payroll, healthcare reimbursements, transit payments, disaster relief, rebates and incentives, insurance claim payments, student loan disbursements, and corporate expense reimbursement. Prepaid accounts, including general purpose reloadable cards and payroll cards, are also used by consumers as bank account substitutes to handle all of their financial service needs</w:t>
      </w:r>
      <w:r w:rsidR="00C66D50">
        <w:rPr>
          <w:rFonts w:ascii="Times New Roman" w:eastAsia="Calibri" w:hAnsi="Times New Roman" w:cs="Times New Roman"/>
        </w:rPr>
        <w:t xml:space="preserve"> and, in doing so, have helped to give many unbanked and underbanked Americans access to digital banking services</w:t>
      </w:r>
      <w:r w:rsidR="00DE53FE" w:rsidRPr="00DE53FE">
        <w:rPr>
          <w:rFonts w:ascii="Times New Roman" w:eastAsia="Calibri" w:hAnsi="Times New Roman" w:cs="Times New Roman"/>
        </w:rPr>
        <w:t xml:space="preserve">. </w:t>
      </w:r>
      <w:r w:rsidR="00DE53FE">
        <w:rPr>
          <w:rFonts w:ascii="Times New Roman" w:eastAsia="Calibri" w:hAnsi="Times New Roman" w:cs="Times New Roman"/>
        </w:rPr>
        <w:t xml:space="preserve"> </w:t>
      </w:r>
    </w:p>
    <w:p w14:paraId="7F93F710" w14:textId="77777777" w:rsidR="006105A9" w:rsidRDefault="006105A9" w:rsidP="00BA547C">
      <w:pPr>
        <w:ind w:firstLine="720"/>
        <w:jc w:val="both"/>
        <w:rPr>
          <w:rFonts w:ascii="Times New Roman" w:eastAsia="Calibri" w:hAnsi="Times New Roman" w:cs="Times New Roman"/>
        </w:rPr>
      </w:pPr>
    </w:p>
    <w:p w14:paraId="6A7A16F9" w14:textId="77777777" w:rsidR="00BA547C" w:rsidRDefault="00DE53FE" w:rsidP="00BA547C">
      <w:pPr>
        <w:ind w:firstLine="720"/>
        <w:jc w:val="both"/>
        <w:rPr>
          <w:rFonts w:ascii="Times New Roman" w:eastAsia="Calibri" w:hAnsi="Times New Roman" w:cs="Times New Roman"/>
        </w:rPr>
      </w:pPr>
      <w:r>
        <w:rPr>
          <w:rFonts w:ascii="Times New Roman" w:eastAsia="Calibri" w:hAnsi="Times New Roman" w:cs="Times New Roman"/>
        </w:rPr>
        <w:t>Given the growth and prevalence of prepaid account products in recent years, it is no surprise that</w:t>
      </w:r>
      <w:r w:rsidR="006A331A">
        <w:rPr>
          <w:rFonts w:ascii="Times New Roman" w:eastAsia="Calibri" w:hAnsi="Times New Roman" w:cs="Times New Roman"/>
        </w:rPr>
        <w:t xml:space="preserve"> p</w:t>
      </w:r>
      <w:r w:rsidR="00F31802">
        <w:rPr>
          <w:rFonts w:ascii="Times New Roman" w:eastAsia="Calibri" w:hAnsi="Times New Roman" w:cs="Times New Roman"/>
        </w:rPr>
        <w:t>repaid accounts</w:t>
      </w:r>
      <w:r w:rsidR="006A331A">
        <w:rPr>
          <w:rFonts w:ascii="Times New Roman" w:eastAsia="Calibri" w:hAnsi="Times New Roman" w:cs="Times New Roman"/>
        </w:rPr>
        <w:t xml:space="preserve"> </w:t>
      </w:r>
      <w:r w:rsidR="00755A25">
        <w:rPr>
          <w:rFonts w:ascii="Times New Roman" w:eastAsia="Calibri" w:hAnsi="Times New Roman" w:cs="Times New Roman"/>
        </w:rPr>
        <w:t>now</w:t>
      </w:r>
      <w:r w:rsidR="00BA547C" w:rsidRPr="00BA547C">
        <w:rPr>
          <w:rFonts w:ascii="Times New Roman" w:eastAsia="Calibri" w:hAnsi="Times New Roman" w:cs="Times New Roman"/>
        </w:rPr>
        <w:t xml:space="preserve"> serve a crucial function in the payments system, which has been evidenced in their use and utility in disbursing financial payments and benefits to persons during the Covid-19 Pandemic. Recognition of this important role is </w:t>
      </w:r>
      <w:r w:rsidR="00755A25">
        <w:rPr>
          <w:rFonts w:ascii="Times New Roman" w:eastAsia="Calibri" w:hAnsi="Times New Roman" w:cs="Times New Roman"/>
        </w:rPr>
        <w:t>seen</w:t>
      </w:r>
      <w:r w:rsidR="00BA547C" w:rsidRPr="00BA547C">
        <w:rPr>
          <w:rFonts w:ascii="Times New Roman" w:eastAsia="Calibri" w:hAnsi="Times New Roman" w:cs="Times New Roman"/>
        </w:rPr>
        <w:t xml:space="preserve"> in the myriad letters written to the Department of Treasury and Internal Revenue Service by Congressional representatives, urging these agencies to utilize prepaid accounts for the disbursement of economic relief payments. Copies of these congressional letters are attached hereto for your reference as </w:t>
      </w:r>
      <w:r w:rsidR="00BA547C" w:rsidRPr="00BA547C">
        <w:rPr>
          <w:rFonts w:ascii="Times New Roman" w:eastAsia="Calibri" w:hAnsi="Times New Roman" w:cs="Times New Roman"/>
          <w:b/>
          <w:u w:val="single"/>
        </w:rPr>
        <w:t>Exhibit A</w:t>
      </w:r>
      <w:r w:rsidR="00BA547C" w:rsidRPr="00BA547C">
        <w:rPr>
          <w:rFonts w:ascii="Times New Roman" w:eastAsia="Calibri" w:hAnsi="Times New Roman" w:cs="Times New Roman"/>
        </w:rPr>
        <w:t xml:space="preserve">. In addition, the benefits afforded by prepaid accounts in general have been cited by a number of regulators, legislators, and financial services stakeholders in a variety of publications, a sample of which has been attached hereto as </w:t>
      </w:r>
      <w:r w:rsidR="00BA547C" w:rsidRPr="00BA547C">
        <w:rPr>
          <w:rFonts w:ascii="Times New Roman" w:eastAsia="Calibri" w:hAnsi="Times New Roman" w:cs="Times New Roman"/>
          <w:b/>
          <w:u w:val="single"/>
        </w:rPr>
        <w:t>Exhibit B</w:t>
      </w:r>
      <w:r w:rsidR="00BA547C" w:rsidRPr="00BA547C">
        <w:rPr>
          <w:rFonts w:ascii="Times New Roman" w:eastAsia="Calibri" w:hAnsi="Times New Roman" w:cs="Times New Roman"/>
        </w:rPr>
        <w:t xml:space="preserve"> for your convenience.</w:t>
      </w:r>
    </w:p>
    <w:p w14:paraId="68D03987" w14:textId="77777777" w:rsidR="00DE53FE" w:rsidRDefault="00DE53FE" w:rsidP="00BA547C">
      <w:pPr>
        <w:ind w:firstLine="720"/>
        <w:jc w:val="both"/>
        <w:rPr>
          <w:rFonts w:ascii="Times New Roman" w:eastAsia="Calibri" w:hAnsi="Times New Roman" w:cs="Times New Roman"/>
        </w:rPr>
      </w:pPr>
    </w:p>
    <w:p w14:paraId="173BDF8A" w14:textId="7E4FC336" w:rsidR="002C6F34" w:rsidRPr="002C6F34" w:rsidRDefault="00042EA5" w:rsidP="008666DC">
      <w:pPr>
        <w:ind w:firstLine="720"/>
        <w:jc w:val="both"/>
        <w:rPr>
          <w:rFonts w:ascii="Times New Roman" w:eastAsia="Calibri" w:hAnsi="Times New Roman" w:cs="Times New Roman"/>
        </w:rPr>
      </w:pPr>
      <w:r>
        <w:rPr>
          <w:rFonts w:ascii="Times New Roman" w:eastAsia="Calibri" w:hAnsi="Times New Roman" w:cs="Times New Roman"/>
        </w:rPr>
        <w:t>The growth and importance of prepaid account products to the financial services industry has developed in compliance with the Dodd-Frank Act and Regulation II</w:t>
      </w:r>
      <w:r w:rsidR="008666DC">
        <w:rPr>
          <w:rFonts w:ascii="Times New Roman" w:eastAsia="Calibri" w:hAnsi="Times New Roman" w:cs="Times New Roman"/>
        </w:rPr>
        <w:t xml:space="preserve"> and</w:t>
      </w:r>
      <w:r w:rsidR="00F1681B">
        <w:rPr>
          <w:rFonts w:ascii="Times New Roman" w:eastAsia="Calibri" w:hAnsi="Times New Roman" w:cs="Times New Roman"/>
        </w:rPr>
        <w:t>, notably,</w:t>
      </w:r>
      <w:r w:rsidR="008666DC">
        <w:rPr>
          <w:rFonts w:ascii="Times New Roman" w:eastAsia="Calibri" w:hAnsi="Times New Roman" w:cs="Times New Roman"/>
        </w:rPr>
        <w:t xml:space="preserve"> the common understanding of how the requirements and provisions of Regulation II apply. For this reason, any changes to Regulation II have the potential to significantly impact the prepaid account industry and financial services as a whole</w:t>
      </w:r>
      <w:r w:rsidR="00F1681B">
        <w:rPr>
          <w:rFonts w:ascii="Times New Roman" w:eastAsia="Calibri" w:hAnsi="Times New Roman" w:cs="Times New Roman"/>
        </w:rPr>
        <w:t>, which, in turn, could result in negative consequences for both providers of financial services and consumers</w:t>
      </w:r>
      <w:r w:rsidR="008666DC">
        <w:rPr>
          <w:rFonts w:ascii="Times New Roman" w:eastAsia="Calibri" w:hAnsi="Times New Roman" w:cs="Times New Roman"/>
        </w:rPr>
        <w:t xml:space="preserve">. </w:t>
      </w:r>
      <w:r w:rsidR="00D60F39" w:rsidRPr="00D60F39">
        <w:rPr>
          <w:rFonts w:ascii="Times New Roman" w:eastAsia="Calibri" w:hAnsi="Times New Roman" w:cs="Times New Roman"/>
        </w:rPr>
        <w:t xml:space="preserve">Our members therefore urge the Board to ensure that any revisions to Regulation II or its interpretation are made pursuant to a transparent process that </w:t>
      </w:r>
      <w:r w:rsidR="00D60F39">
        <w:rPr>
          <w:rFonts w:ascii="Times New Roman" w:eastAsia="Calibri" w:hAnsi="Times New Roman" w:cs="Times New Roman"/>
        </w:rPr>
        <w:t>includes open and public debate</w:t>
      </w:r>
      <w:bookmarkStart w:id="0" w:name="_GoBack"/>
      <w:bookmarkEnd w:id="0"/>
      <w:r w:rsidR="002C6F34" w:rsidRPr="002C6F34">
        <w:rPr>
          <w:rFonts w:ascii="Times New Roman" w:eastAsia="Calibri" w:hAnsi="Times New Roman" w:cs="Times New Roman"/>
        </w:rPr>
        <w:t xml:space="preserve">. </w:t>
      </w:r>
    </w:p>
    <w:p w14:paraId="6EFB6F65" w14:textId="77777777" w:rsidR="002C6F34" w:rsidRPr="002C6F34" w:rsidRDefault="002C6F34" w:rsidP="002C6F34">
      <w:pPr>
        <w:ind w:firstLine="720"/>
        <w:jc w:val="both"/>
        <w:rPr>
          <w:rFonts w:ascii="Times New Roman" w:eastAsia="Calibri" w:hAnsi="Times New Roman" w:cs="Times New Roman"/>
        </w:rPr>
      </w:pPr>
    </w:p>
    <w:p w14:paraId="3EED73B9" w14:textId="77777777" w:rsidR="00584744" w:rsidRPr="00584744" w:rsidRDefault="00584744" w:rsidP="00584744">
      <w:pPr>
        <w:ind w:firstLine="720"/>
        <w:jc w:val="both"/>
        <w:rPr>
          <w:rFonts w:ascii="Times New Roman" w:eastAsia="Calibri" w:hAnsi="Times New Roman" w:cs="Times New Roman"/>
          <w:b/>
        </w:rPr>
      </w:pPr>
      <w:r w:rsidRPr="00584744">
        <w:rPr>
          <w:rFonts w:ascii="Times New Roman" w:eastAsia="Calibri" w:hAnsi="Times New Roman" w:cs="Times New Roman"/>
          <w:b/>
        </w:rPr>
        <w:t>Conclusion</w:t>
      </w:r>
    </w:p>
    <w:p w14:paraId="367D47C4" w14:textId="77777777" w:rsidR="00584744" w:rsidRPr="00584744" w:rsidRDefault="00584744" w:rsidP="00584744">
      <w:pPr>
        <w:jc w:val="both"/>
        <w:rPr>
          <w:rFonts w:ascii="Times New Roman" w:eastAsia="Calibri" w:hAnsi="Times New Roman" w:cs="Times New Roman"/>
          <w:b/>
        </w:rPr>
      </w:pPr>
    </w:p>
    <w:p w14:paraId="7F36EF95" w14:textId="77777777" w:rsidR="00584744" w:rsidRDefault="00584744" w:rsidP="00584744">
      <w:pPr>
        <w:ind w:firstLine="720"/>
        <w:jc w:val="both"/>
        <w:rPr>
          <w:rFonts w:ascii="Times New Roman" w:eastAsia="Calibri" w:hAnsi="Times New Roman" w:cs="Times New Roman"/>
        </w:rPr>
      </w:pPr>
      <w:r w:rsidRPr="00584744">
        <w:rPr>
          <w:rFonts w:ascii="Times New Roman" w:eastAsia="Calibri" w:hAnsi="Times New Roman" w:cs="Times New Roman"/>
        </w:rPr>
        <w:t>The IPA appreciates the opportunity to submit comments</w:t>
      </w:r>
      <w:r w:rsidR="00042EA5">
        <w:rPr>
          <w:rFonts w:ascii="Times New Roman" w:eastAsia="Calibri" w:hAnsi="Times New Roman" w:cs="Times New Roman"/>
        </w:rPr>
        <w:t xml:space="preserve"> to the Board</w:t>
      </w:r>
      <w:r w:rsidRPr="00584744">
        <w:rPr>
          <w:rFonts w:ascii="Times New Roman" w:eastAsia="Calibri" w:hAnsi="Times New Roman" w:cs="Times New Roman"/>
        </w:rPr>
        <w:t xml:space="preserve"> on </w:t>
      </w:r>
      <w:r w:rsidR="00042EA5">
        <w:rPr>
          <w:rFonts w:ascii="Times New Roman" w:eastAsia="Calibri" w:hAnsi="Times New Roman" w:cs="Times New Roman"/>
        </w:rPr>
        <w:t>this important topic</w:t>
      </w:r>
      <w:r w:rsidRPr="00584744">
        <w:rPr>
          <w:rFonts w:ascii="Times New Roman" w:eastAsia="Calibri" w:hAnsi="Times New Roman" w:cs="Times New Roman"/>
        </w:rPr>
        <w:t xml:space="preserve">. </w:t>
      </w:r>
      <w:r w:rsidR="00042EA5">
        <w:rPr>
          <w:rFonts w:ascii="Times New Roman" w:eastAsia="Calibri" w:hAnsi="Times New Roman" w:cs="Times New Roman"/>
        </w:rPr>
        <w:t xml:space="preserve">The IPA and its members would be happy to meet with the Board to discuss this issue further. </w:t>
      </w:r>
      <w:r w:rsidRPr="00584744">
        <w:rPr>
          <w:rFonts w:ascii="Times New Roman" w:eastAsia="Calibri" w:hAnsi="Times New Roman" w:cs="Times New Roman"/>
        </w:rPr>
        <w:t>If you have any questions, please do not hesitate to contact me at the number listed below or at:</w:t>
      </w:r>
      <w:r w:rsidRPr="00584744">
        <w:rPr>
          <w:rFonts w:ascii="Times New Roman" w:eastAsia="Times New Roman" w:hAnsi="Times New Roman" w:cs="Times New Roman"/>
        </w:rPr>
        <w:t xml:space="preserve"> </w:t>
      </w:r>
      <w:hyperlink r:id="rId9" w:history="1">
        <w:r w:rsidRPr="00584744">
          <w:rPr>
            <w:rFonts w:ascii="Times New Roman" w:eastAsia="Times New Roman" w:hAnsi="Times New Roman" w:cs="Times New Roman"/>
            <w:color w:val="0000FF"/>
            <w:u w:val="single"/>
          </w:rPr>
          <w:t>btate@ipa.org</w:t>
        </w:r>
      </w:hyperlink>
      <w:r w:rsidRPr="00584744">
        <w:rPr>
          <w:rFonts w:ascii="Times New Roman" w:eastAsia="Calibri" w:hAnsi="Times New Roman" w:cs="Times New Roman"/>
        </w:rPr>
        <w:t xml:space="preserve">. </w:t>
      </w:r>
    </w:p>
    <w:p w14:paraId="79922EF9" w14:textId="77777777" w:rsidR="00F1681B" w:rsidRDefault="00F1681B" w:rsidP="00584744">
      <w:pPr>
        <w:ind w:firstLine="720"/>
        <w:jc w:val="both"/>
        <w:rPr>
          <w:rFonts w:ascii="Times New Roman" w:eastAsia="Calibri" w:hAnsi="Times New Roman" w:cs="Times New Roman"/>
        </w:rPr>
      </w:pPr>
    </w:p>
    <w:p w14:paraId="7820EC6E" w14:textId="77777777" w:rsidR="00B15F46" w:rsidRPr="00584744" w:rsidRDefault="00B15F46" w:rsidP="00584744">
      <w:pPr>
        <w:ind w:firstLine="720"/>
        <w:jc w:val="both"/>
        <w:rPr>
          <w:rFonts w:ascii="Times New Roman" w:eastAsia="Calibri" w:hAnsi="Times New Roman" w:cs="Times New Roman"/>
        </w:rPr>
      </w:pPr>
    </w:p>
    <w:p w14:paraId="221B4068" w14:textId="77777777" w:rsidR="00584744" w:rsidRPr="00584744" w:rsidRDefault="00584744" w:rsidP="00584744">
      <w:pPr>
        <w:jc w:val="both"/>
        <w:rPr>
          <w:rFonts w:ascii="Times New Roman" w:eastAsia="Calibri" w:hAnsi="Times New Roman" w:cs="Times New Roman"/>
          <w:sz w:val="22"/>
          <w:szCs w:val="22"/>
        </w:rPr>
      </w:pPr>
      <w:r w:rsidRPr="00584744">
        <w:rPr>
          <w:rFonts w:ascii="Times New Roman" w:eastAsia="Calibri" w:hAnsi="Times New Roman" w:cs="Times New Roman"/>
          <w:sz w:val="22"/>
          <w:szCs w:val="22"/>
        </w:rPr>
        <w:t xml:space="preserve"> </w:t>
      </w:r>
    </w:p>
    <w:p w14:paraId="0A82A6C8" w14:textId="77777777" w:rsidR="00584744" w:rsidRPr="00584744" w:rsidRDefault="00584744" w:rsidP="00584744">
      <w:pPr>
        <w:ind w:left="4320" w:firstLine="720"/>
        <w:rPr>
          <w:rFonts w:ascii="Times New Roman" w:eastAsia="Times New Roman" w:hAnsi="Times New Roman" w:cs="Times New Roman"/>
          <w:sz w:val="22"/>
          <w:szCs w:val="22"/>
        </w:rPr>
      </w:pPr>
    </w:p>
    <w:p w14:paraId="514507B1" w14:textId="77777777" w:rsidR="00584744" w:rsidRPr="00584744" w:rsidRDefault="00584744" w:rsidP="00584744">
      <w:pPr>
        <w:rPr>
          <w:rFonts w:ascii="Times New Roman" w:eastAsia="Times New Roman" w:hAnsi="Times New Roman" w:cs="Times New Roman"/>
          <w:sz w:val="22"/>
          <w:szCs w:val="22"/>
        </w:rPr>
      </w:pPr>
    </w:p>
    <w:p w14:paraId="6045049D" w14:textId="77777777" w:rsidR="00584744" w:rsidRPr="00584744" w:rsidRDefault="00584744" w:rsidP="00584744">
      <w:pPr>
        <w:ind w:left="4320" w:firstLine="720"/>
        <w:rPr>
          <w:rFonts w:ascii="Times New Roman" w:eastAsia="Times New Roman" w:hAnsi="Times New Roman" w:cs="Times New Roman"/>
          <w:sz w:val="22"/>
          <w:szCs w:val="22"/>
        </w:rPr>
      </w:pPr>
    </w:p>
    <w:p w14:paraId="52CEE9C7" w14:textId="77777777" w:rsidR="00584744" w:rsidRPr="00584744" w:rsidRDefault="00584744" w:rsidP="00584744">
      <w:pPr>
        <w:ind w:left="4320" w:firstLine="720"/>
        <w:rPr>
          <w:rFonts w:ascii="Times New Roman" w:eastAsia="Times New Roman" w:hAnsi="Times New Roman" w:cs="Times New Roman"/>
          <w:sz w:val="22"/>
          <w:szCs w:val="22"/>
        </w:rPr>
      </w:pPr>
    </w:p>
    <w:p w14:paraId="66EB62F6" w14:textId="77777777" w:rsidR="00584744" w:rsidRPr="00584744" w:rsidRDefault="00584744" w:rsidP="00584744">
      <w:pPr>
        <w:ind w:left="4320" w:firstLine="720"/>
        <w:rPr>
          <w:rFonts w:ascii="Times New Roman" w:eastAsia="Times New Roman" w:hAnsi="Times New Roman" w:cs="Times New Roman"/>
          <w:sz w:val="22"/>
          <w:szCs w:val="22"/>
        </w:rPr>
      </w:pPr>
      <w:r w:rsidRPr="00584744">
        <w:rPr>
          <w:rFonts w:ascii="Times New Roman" w:eastAsia="Times New Roman" w:hAnsi="Times New Roman" w:cs="Times New Roman"/>
          <w:sz w:val="22"/>
          <w:szCs w:val="22"/>
        </w:rPr>
        <w:t>Sincerely,</w:t>
      </w:r>
    </w:p>
    <w:p w14:paraId="6F40783E" w14:textId="77777777" w:rsidR="00584744" w:rsidRPr="00584744" w:rsidRDefault="00584744" w:rsidP="00584744">
      <w:pPr>
        <w:ind w:left="5040"/>
        <w:jc w:val="both"/>
        <w:rPr>
          <w:rFonts w:ascii="Times New Roman" w:eastAsia="Times New Roman" w:hAnsi="Times New Roman" w:cs="Times New Roman"/>
          <w:sz w:val="22"/>
          <w:szCs w:val="22"/>
        </w:rPr>
      </w:pPr>
    </w:p>
    <w:p w14:paraId="1751CC8D" w14:textId="77777777" w:rsidR="00584744" w:rsidRPr="00584744" w:rsidRDefault="00584744" w:rsidP="00584744">
      <w:pPr>
        <w:ind w:left="5040"/>
        <w:jc w:val="both"/>
        <w:rPr>
          <w:rFonts w:ascii="Times New Roman" w:eastAsia="Times New Roman" w:hAnsi="Times New Roman" w:cs="Times New Roman"/>
          <w:sz w:val="22"/>
          <w:szCs w:val="22"/>
        </w:rPr>
      </w:pPr>
      <w:r w:rsidRPr="00584744">
        <w:rPr>
          <w:rFonts w:ascii="Times New Roman" w:eastAsia="Times New Roman" w:hAnsi="Times New Roman" w:cs="Times New Roman"/>
          <w:noProof/>
          <w:u w:val="single"/>
        </w:rPr>
        <w:drawing>
          <wp:inline distT="0" distB="0" distL="0" distR="0" wp14:anchorId="376423F4" wp14:editId="17C40DB4">
            <wp:extent cx="1546860" cy="594360"/>
            <wp:effectExtent l="0" t="0" r="0" b="0"/>
            <wp:docPr id="2" name="Picture 2" descr="C:\Users\Brad\AppData\Local\Microsoft\Windows\INetCache\Content.Word\Brian Tate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d\AppData\Local\Microsoft\Windows\INetCache\Content.Word\Brian Tate Signatur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6860" cy="594360"/>
                    </a:xfrm>
                    <a:prstGeom prst="rect">
                      <a:avLst/>
                    </a:prstGeom>
                    <a:noFill/>
                    <a:ln>
                      <a:noFill/>
                    </a:ln>
                  </pic:spPr>
                </pic:pic>
              </a:graphicData>
            </a:graphic>
          </wp:inline>
        </w:drawing>
      </w:r>
    </w:p>
    <w:p w14:paraId="3820F199" w14:textId="77777777" w:rsidR="00584744" w:rsidRPr="00584744" w:rsidRDefault="00584744" w:rsidP="00584744">
      <w:pPr>
        <w:ind w:left="4320" w:firstLine="720"/>
        <w:jc w:val="both"/>
        <w:rPr>
          <w:rFonts w:ascii="Times New Roman" w:eastAsia="Times New Roman" w:hAnsi="Times New Roman" w:cs="Times New Roman"/>
          <w:sz w:val="22"/>
          <w:szCs w:val="22"/>
        </w:rPr>
      </w:pPr>
      <w:r w:rsidRPr="00584744">
        <w:rPr>
          <w:rFonts w:ascii="Times New Roman" w:eastAsia="Times New Roman" w:hAnsi="Times New Roman" w:cs="Times New Roman"/>
          <w:sz w:val="22"/>
          <w:szCs w:val="22"/>
        </w:rPr>
        <w:t>Brian Tate</w:t>
      </w:r>
    </w:p>
    <w:p w14:paraId="62E15325" w14:textId="77777777" w:rsidR="00584744" w:rsidRPr="00584744" w:rsidRDefault="00584744" w:rsidP="00584744">
      <w:pPr>
        <w:ind w:left="5040"/>
        <w:jc w:val="both"/>
        <w:rPr>
          <w:rFonts w:ascii="Times New Roman" w:eastAsia="Times New Roman" w:hAnsi="Times New Roman" w:cs="Times New Roman"/>
          <w:sz w:val="22"/>
          <w:szCs w:val="22"/>
        </w:rPr>
      </w:pPr>
      <w:r w:rsidRPr="00584744">
        <w:rPr>
          <w:rFonts w:ascii="Times New Roman" w:eastAsia="Times New Roman" w:hAnsi="Times New Roman" w:cs="Times New Roman"/>
          <w:sz w:val="22"/>
          <w:szCs w:val="22"/>
        </w:rPr>
        <w:t>President and CEO</w:t>
      </w:r>
    </w:p>
    <w:p w14:paraId="793FA71A" w14:textId="77777777" w:rsidR="00584744" w:rsidRPr="00584744" w:rsidRDefault="00584744" w:rsidP="00584744">
      <w:pPr>
        <w:ind w:left="5040"/>
        <w:jc w:val="both"/>
        <w:rPr>
          <w:rFonts w:ascii="Times New Roman" w:eastAsia="Times New Roman" w:hAnsi="Times New Roman" w:cs="Times New Roman"/>
          <w:sz w:val="22"/>
          <w:szCs w:val="22"/>
        </w:rPr>
      </w:pPr>
      <w:r w:rsidRPr="00584744">
        <w:rPr>
          <w:rFonts w:ascii="Times New Roman" w:eastAsia="Times New Roman" w:hAnsi="Times New Roman" w:cs="Times New Roman"/>
          <w:sz w:val="22"/>
          <w:szCs w:val="22"/>
        </w:rPr>
        <w:t>IPA</w:t>
      </w:r>
    </w:p>
    <w:p w14:paraId="19FA8988" w14:textId="77777777" w:rsidR="00584744" w:rsidRPr="00584744" w:rsidRDefault="00584744" w:rsidP="00584744">
      <w:pPr>
        <w:ind w:left="5040"/>
        <w:jc w:val="both"/>
        <w:rPr>
          <w:rFonts w:ascii="Times New Roman" w:eastAsia="Times New Roman" w:hAnsi="Times New Roman" w:cs="Times New Roman"/>
        </w:rPr>
      </w:pPr>
      <w:r w:rsidRPr="00584744">
        <w:rPr>
          <w:rFonts w:ascii="Times New Roman" w:eastAsia="Times New Roman" w:hAnsi="Times New Roman" w:cs="Times New Roman"/>
          <w:sz w:val="22"/>
          <w:szCs w:val="22"/>
        </w:rPr>
        <w:t>(202) 507-6181</w:t>
      </w:r>
      <w:r w:rsidRPr="00584744">
        <w:rPr>
          <w:rFonts w:ascii="Times New Roman" w:eastAsia="Times New Roman" w:hAnsi="Times New Roman" w:cs="Times New Roman"/>
        </w:rPr>
        <w:t xml:space="preserve"> </w:t>
      </w:r>
    </w:p>
    <w:p w14:paraId="3B7AEE43" w14:textId="77777777" w:rsidR="00584744" w:rsidRPr="00584744" w:rsidRDefault="00584744" w:rsidP="00584744">
      <w:pPr>
        <w:spacing w:line="200" w:lineRule="exact"/>
      </w:pPr>
    </w:p>
    <w:p w14:paraId="76136198" w14:textId="77777777" w:rsidR="008666DC" w:rsidRDefault="008666DC">
      <w:r>
        <w:br w:type="page"/>
      </w:r>
    </w:p>
    <w:p w14:paraId="6093FB94" w14:textId="77777777" w:rsidR="00AD3307" w:rsidRDefault="00AD3307"/>
    <w:p w14:paraId="2827443E" w14:textId="77777777" w:rsidR="008666DC" w:rsidRPr="00F600A2" w:rsidRDefault="008666DC" w:rsidP="008666DC">
      <w:pPr>
        <w:jc w:val="center"/>
        <w:rPr>
          <w:rFonts w:ascii="Times New Roman Bold" w:hAnsi="Times New Roman Bold" w:cs="Times New Roman"/>
          <w:b/>
          <w:caps/>
          <w:sz w:val="22"/>
          <w:szCs w:val="22"/>
        </w:rPr>
      </w:pPr>
      <w:r w:rsidRPr="00F600A2">
        <w:rPr>
          <w:rFonts w:ascii="Times New Roman Bold" w:hAnsi="Times New Roman Bold" w:cs="Times New Roman"/>
          <w:b/>
          <w:caps/>
          <w:sz w:val="22"/>
          <w:szCs w:val="22"/>
        </w:rPr>
        <w:t>Exhibit A</w:t>
      </w:r>
    </w:p>
    <w:p w14:paraId="0571D272" w14:textId="77777777" w:rsidR="008666DC" w:rsidRPr="00F600A2" w:rsidRDefault="008666DC" w:rsidP="008666DC">
      <w:pPr>
        <w:jc w:val="center"/>
        <w:rPr>
          <w:rFonts w:ascii="Times New Roman Bold" w:hAnsi="Times New Roman Bold" w:cs="Times New Roman"/>
          <w:b/>
          <w:caps/>
          <w:sz w:val="22"/>
          <w:szCs w:val="22"/>
        </w:rPr>
      </w:pPr>
      <w:r w:rsidRPr="00F600A2">
        <w:rPr>
          <w:rFonts w:ascii="Times New Roman Bold" w:hAnsi="Times New Roman Bold" w:cs="Times New Roman"/>
          <w:b/>
          <w:caps/>
          <w:sz w:val="22"/>
          <w:szCs w:val="22"/>
        </w:rPr>
        <w:t>Congressional Letters to Federal Agencies in Support of Prepaid Accounts</w:t>
      </w:r>
    </w:p>
    <w:p w14:paraId="7AA323AC" w14:textId="77777777" w:rsidR="008666DC" w:rsidRDefault="008666DC" w:rsidP="008666DC">
      <w:pPr>
        <w:jc w:val="center"/>
        <w:rPr>
          <w:rFonts w:ascii="Times New Roman Bold" w:hAnsi="Times New Roman Bold" w:cs="Times New Roman"/>
          <w:b/>
          <w:sz w:val="22"/>
          <w:szCs w:val="22"/>
        </w:rPr>
      </w:pPr>
    </w:p>
    <w:p w14:paraId="5F9C6988" w14:textId="77777777" w:rsidR="008666DC" w:rsidRDefault="008666DC" w:rsidP="008666DC">
      <w:pPr>
        <w:jc w:val="center"/>
        <w:rPr>
          <w:rFonts w:ascii="Times New Roman Bold" w:hAnsi="Times New Roman Bold" w:cs="Times New Roman"/>
          <w:sz w:val="22"/>
          <w:szCs w:val="22"/>
        </w:rPr>
      </w:pPr>
      <w:r w:rsidRPr="00713E40">
        <w:rPr>
          <w:rFonts w:ascii="Times New Roman Bold" w:hAnsi="Times New Roman Bold" w:cs="Times New Roman"/>
          <w:sz w:val="22"/>
          <w:szCs w:val="22"/>
        </w:rPr>
        <w:t>[See Attached]</w:t>
      </w:r>
    </w:p>
    <w:p w14:paraId="0E895D8D" w14:textId="77777777" w:rsidR="008666DC" w:rsidRDefault="008666DC" w:rsidP="008666DC">
      <w:pPr>
        <w:rPr>
          <w:rFonts w:ascii="Times New Roman Bold" w:hAnsi="Times New Roman Bold" w:cs="Times New Roman"/>
          <w:sz w:val="22"/>
          <w:szCs w:val="22"/>
        </w:rPr>
      </w:pPr>
      <w:r>
        <w:rPr>
          <w:rFonts w:ascii="Times New Roman Bold" w:hAnsi="Times New Roman Bold" w:cs="Times New Roman"/>
          <w:sz w:val="22"/>
          <w:szCs w:val="22"/>
        </w:rPr>
        <w:br w:type="page"/>
      </w:r>
    </w:p>
    <w:p w14:paraId="46D6A737" w14:textId="77777777" w:rsidR="008666DC" w:rsidRDefault="008666DC" w:rsidP="008666DC">
      <w:pPr>
        <w:jc w:val="center"/>
        <w:rPr>
          <w:rFonts w:ascii="Times New Roman Bold" w:hAnsi="Times New Roman Bold" w:cs="Times New Roman"/>
          <w:sz w:val="22"/>
          <w:szCs w:val="22"/>
        </w:rPr>
      </w:pPr>
      <w:r>
        <w:rPr>
          <w:rFonts w:ascii="Times New Roman Bold" w:hAnsi="Times New Roman Bold" w:cs="Times New Roman"/>
          <w:sz w:val="22"/>
          <w:szCs w:val="22"/>
        </w:rPr>
        <w:lastRenderedPageBreak/>
        <w:t>EXHIBIT B</w:t>
      </w:r>
    </w:p>
    <w:p w14:paraId="33D9BD47" w14:textId="77777777" w:rsidR="008666DC" w:rsidRPr="00713E40" w:rsidRDefault="008666DC" w:rsidP="008666DC">
      <w:pPr>
        <w:jc w:val="center"/>
        <w:rPr>
          <w:rFonts w:ascii="Times New Roman Bold" w:hAnsi="Times New Roman Bold" w:cs="Times New Roman"/>
          <w:sz w:val="22"/>
          <w:szCs w:val="22"/>
        </w:rPr>
      </w:pPr>
      <w:r>
        <w:rPr>
          <w:rFonts w:ascii="Times New Roman Bold" w:hAnsi="Times New Roman Bold" w:cs="Times New Roman"/>
          <w:sz w:val="22"/>
          <w:szCs w:val="22"/>
        </w:rPr>
        <w:t>STAKEHOLDER STATEMENTS ON PREPAID ACCOUNTS</w:t>
      </w:r>
    </w:p>
    <w:p w14:paraId="433F0D88" w14:textId="77777777" w:rsidR="008666DC" w:rsidRDefault="008666DC" w:rsidP="008666DC">
      <w:pPr>
        <w:jc w:val="center"/>
        <w:rPr>
          <w:rFonts w:ascii="Times New Roman" w:hAnsi="Times New Roman" w:cs="Times New Roman"/>
          <w:b/>
          <w:sz w:val="22"/>
          <w:szCs w:val="22"/>
        </w:rPr>
      </w:pPr>
    </w:p>
    <w:p w14:paraId="64F6F1D8"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CFPB </w:t>
      </w:r>
      <w:hyperlink r:id="rId11" w:history="1">
        <w:r w:rsidRPr="00CF1046">
          <w:rPr>
            <w:rStyle w:val="Hyperlink"/>
            <w:rFonts w:ascii="Times New Roman" w:hAnsi="Times New Roman" w:cs="Times New Roman"/>
            <w:sz w:val="22"/>
            <w:szCs w:val="22"/>
          </w:rPr>
          <w:t>Press Release</w:t>
        </w:r>
      </w:hyperlink>
      <w:r w:rsidRPr="00CF1046">
        <w:rPr>
          <w:rFonts w:ascii="Times New Roman" w:hAnsi="Times New Roman" w:cs="Times New Roman"/>
          <w:sz w:val="22"/>
          <w:szCs w:val="22"/>
        </w:rPr>
        <w:t xml:space="preserve"> announcing Interpretive Rule on Compulsory Use for Pandemic Payments: </w:t>
      </w:r>
    </w:p>
    <w:p w14:paraId="70A8EAB2"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…the disbursement of funds via alternative means, such as a newly-issued prepaid account, may be faster, more secure, more convenient, and less expensive—for both the government agency and the consumer—than making disbursements through other methods such as paper check.</w:t>
      </w:r>
      <w:r>
        <w:rPr>
          <w:rFonts w:ascii="Times New Roman" w:hAnsi="Times New Roman" w:cs="Times New Roman"/>
          <w:sz w:val="22"/>
          <w:szCs w:val="22"/>
        </w:rPr>
        <w:t>"</w:t>
      </w:r>
    </w:p>
    <w:p w14:paraId="1B4098D7"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Lauren Saunders of the National Consumer Law Center in a </w:t>
      </w:r>
      <w:hyperlink r:id="rId12" w:history="1">
        <w:r w:rsidRPr="00CF1046">
          <w:rPr>
            <w:rStyle w:val="Hyperlink"/>
            <w:rFonts w:ascii="Times New Roman" w:hAnsi="Times New Roman" w:cs="Times New Roman"/>
            <w:sz w:val="22"/>
            <w:szCs w:val="22"/>
          </w:rPr>
          <w:t>NPR article</w:t>
        </w:r>
      </w:hyperlink>
      <w:r w:rsidRPr="00CF1046">
        <w:rPr>
          <w:rFonts w:ascii="Times New Roman" w:hAnsi="Times New Roman" w:cs="Times New Roman"/>
          <w:sz w:val="22"/>
          <w:szCs w:val="22"/>
        </w:rPr>
        <w:t xml:space="preserve"> on EIP and debt collectors:</w:t>
      </w:r>
    </w:p>
    <w:p w14:paraId="1834326B" w14:textId="77777777" w:rsidR="008666DC" w:rsidRPr="00CF1046" w:rsidRDefault="008666DC" w:rsidP="008666DC">
      <w:pPr>
        <w:numPr>
          <w:ilvl w:val="1"/>
          <w:numId w:val="1"/>
        </w:numPr>
        <w:jc w:val="both"/>
        <w:rPr>
          <w:rFonts w:ascii="Times New Roman" w:hAnsi="Times New Roman" w:cs="Times New Roman"/>
          <w:sz w:val="22"/>
          <w:szCs w:val="22"/>
        </w:rPr>
      </w:pPr>
      <w:r w:rsidRPr="00CF1046">
        <w:rPr>
          <w:rFonts w:ascii="Times New Roman" w:hAnsi="Times New Roman" w:cs="Times New Roman"/>
          <w:sz w:val="22"/>
          <w:szCs w:val="22"/>
        </w:rPr>
        <w:t>Lauren Saunders, with the nonprofit National Consumer Law Center, is hoping the system will soon have multipl</w:t>
      </w:r>
      <w:r>
        <w:rPr>
          <w:rFonts w:ascii="Times New Roman" w:hAnsi="Times New Roman" w:cs="Times New Roman"/>
          <w:sz w:val="22"/>
          <w:szCs w:val="22"/>
        </w:rPr>
        <w:t xml:space="preserve">e options to receive the money, </w:t>
      </w:r>
      <w:r w:rsidRPr="00CF1046">
        <w:rPr>
          <w:rFonts w:ascii="Times New Roman" w:hAnsi="Times New Roman" w:cs="Times New Roman"/>
          <w:sz w:val="22"/>
          <w:szCs w:val="22"/>
        </w:rPr>
        <w:t>"Hopefully they can set up direct deposit to a traditional bank account or to a prepaid account," she says</w:t>
      </w:r>
      <w:r>
        <w:rPr>
          <w:rFonts w:ascii="Times New Roman" w:hAnsi="Times New Roman" w:cs="Times New Roman"/>
          <w:sz w:val="22"/>
          <w:szCs w:val="22"/>
        </w:rPr>
        <w:t>,</w:t>
      </w:r>
      <w:r w:rsidRPr="00CF1046">
        <w:rPr>
          <w:rFonts w:ascii="Times New Roman" w:hAnsi="Times New Roman" w:cs="Times New Roman"/>
          <w:sz w:val="22"/>
          <w:szCs w:val="22"/>
        </w:rPr>
        <w:t xml:space="preserve"> </w:t>
      </w:r>
      <w:r>
        <w:rPr>
          <w:rFonts w:ascii="Times New Roman" w:hAnsi="Times New Roman" w:cs="Times New Roman"/>
          <w:sz w:val="22"/>
          <w:szCs w:val="22"/>
        </w:rPr>
        <w:t>"</w:t>
      </w:r>
      <w:r w:rsidRPr="00CF1046">
        <w:rPr>
          <w:rFonts w:ascii="Times New Roman" w:hAnsi="Times New Roman" w:cs="Times New Roman"/>
          <w:sz w:val="22"/>
          <w:szCs w:val="22"/>
        </w:rPr>
        <w:t>So the government could load the money onto a type of debit card that doesn't require you to have a bank account.</w:t>
      </w:r>
      <w:r>
        <w:rPr>
          <w:rFonts w:ascii="Times New Roman" w:hAnsi="Times New Roman" w:cs="Times New Roman"/>
          <w:sz w:val="22"/>
          <w:szCs w:val="22"/>
        </w:rPr>
        <w:t>"</w:t>
      </w:r>
    </w:p>
    <w:p w14:paraId="257F0332"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Christina Tetreault of Consumers Union [from </w:t>
      </w:r>
      <w:hyperlink r:id="rId13" w:history="1">
        <w:r w:rsidRPr="00CF1046">
          <w:rPr>
            <w:rStyle w:val="Hyperlink"/>
            <w:rFonts w:ascii="Times New Roman" w:hAnsi="Times New Roman" w:cs="Times New Roman"/>
            <w:sz w:val="22"/>
            <w:szCs w:val="22"/>
          </w:rPr>
          <w:t>IPA op-ed</w:t>
        </w:r>
      </w:hyperlink>
      <w:r w:rsidRPr="00CF1046">
        <w:rPr>
          <w:rFonts w:ascii="Times New Roman" w:hAnsi="Times New Roman" w:cs="Times New Roman"/>
          <w:sz w:val="22"/>
          <w:szCs w:val="22"/>
        </w:rPr>
        <w:t xml:space="preserve"> in Bloomberg]</w:t>
      </w:r>
    </w:p>
    <w:p w14:paraId="14AA6437" w14:textId="77777777" w:rsidR="008666DC" w:rsidRPr="00CF1046" w:rsidRDefault="008666DC" w:rsidP="008666DC">
      <w:pPr>
        <w:numPr>
          <w:ilvl w:val="1"/>
          <w:numId w:val="1"/>
        </w:numPr>
        <w:jc w:val="both"/>
        <w:rPr>
          <w:rFonts w:ascii="Times New Roman" w:hAnsi="Times New Roman" w:cs="Times New Roman"/>
          <w:sz w:val="22"/>
          <w:szCs w:val="22"/>
        </w:rPr>
      </w:pPr>
      <w:r w:rsidRPr="00CF1046">
        <w:rPr>
          <w:rFonts w:ascii="Times New Roman" w:hAnsi="Times New Roman" w:cs="Times New Roman"/>
          <w:sz w:val="22"/>
          <w:szCs w:val="22"/>
        </w:rPr>
        <w:t>Christina Tetreault, senior staff atto</w:t>
      </w:r>
      <w:r>
        <w:rPr>
          <w:rFonts w:ascii="Times New Roman" w:hAnsi="Times New Roman" w:cs="Times New Roman"/>
          <w:sz w:val="22"/>
          <w:szCs w:val="22"/>
        </w:rPr>
        <w:t>rney for Consumers Union, said "</w:t>
      </w:r>
      <w:r w:rsidRPr="00CF1046">
        <w:rPr>
          <w:rFonts w:ascii="Times New Roman" w:hAnsi="Times New Roman" w:cs="Times New Roman"/>
          <w:sz w:val="22"/>
          <w:szCs w:val="22"/>
        </w:rPr>
        <w:t>The rule [is] strong and will protect consumers from hidden fees and losing their money to fraud and mistakes.</w:t>
      </w:r>
      <w:r>
        <w:rPr>
          <w:rFonts w:ascii="Times New Roman" w:hAnsi="Times New Roman" w:cs="Times New Roman"/>
          <w:sz w:val="22"/>
          <w:szCs w:val="22"/>
        </w:rPr>
        <w:t>"</w:t>
      </w:r>
      <w:r w:rsidRPr="00CF1046">
        <w:rPr>
          <w:rFonts w:ascii="Times New Roman" w:hAnsi="Times New Roman" w:cs="Times New Roman"/>
          <w:sz w:val="22"/>
          <w:szCs w:val="22"/>
        </w:rPr>
        <w:t xml:space="preserve"> The most recent CFBP Consumer Response Annual Report found that only 0.8% of all complaints were about prepaid accounts.”</w:t>
      </w:r>
    </w:p>
    <w:p w14:paraId="67D35DA8"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Financial Health Network: </w:t>
      </w:r>
    </w:p>
    <w:p w14:paraId="32BCE168" w14:textId="77777777" w:rsidR="008666DC" w:rsidRPr="00CF1046" w:rsidRDefault="00D60F39" w:rsidP="008666DC">
      <w:pPr>
        <w:numPr>
          <w:ilvl w:val="1"/>
          <w:numId w:val="1"/>
        </w:numPr>
        <w:jc w:val="both"/>
        <w:rPr>
          <w:rFonts w:ascii="Times New Roman" w:hAnsi="Times New Roman" w:cs="Times New Roman"/>
          <w:sz w:val="22"/>
          <w:szCs w:val="22"/>
        </w:rPr>
      </w:pPr>
      <w:hyperlink r:id="rId14" w:history="1">
        <w:r w:rsidR="008666DC" w:rsidRPr="00CF1046">
          <w:rPr>
            <w:rStyle w:val="Hyperlink"/>
            <w:rFonts w:ascii="Times New Roman" w:hAnsi="Times New Roman" w:cs="Times New Roman"/>
            <w:sz w:val="22"/>
            <w:szCs w:val="22"/>
          </w:rPr>
          <w:t>Prepaid Card Page</w:t>
        </w:r>
      </w:hyperlink>
      <w:r w:rsidR="008666DC" w:rsidRPr="00CF1046">
        <w:rPr>
          <w:rFonts w:ascii="Times New Roman" w:hAnsi="Times New Roman" w:cs="Times New Roman"/>
          <w:sz w:val="22"/>
          <w:szCs w:val="22"/>
        </w:rPr>
        <w:t xml:space="preserve">: </w:t>
      </w:r>
      <w:r w:rsidR="008666DC">
        <w:rPr>
          <w:rFonts w:ascii="Times New Roman" w:hAnsi="Times New Roman" w:cs="Times New Roman"/>
          <w:sz w:val="22"/>
          <w:szCs w:val="22"/>
        </w:rPr>
        <w:t>"</w:t>
      </w:r>
      <w:r w:rsidR="008666DC" w:rsidRPr="00CF1046">
        <w:rPr>
          <w:rFonts w:ascii="Times New Roman" w:hAnsi="Times New Roman" w:cs="Times New Roman"/>
          <w:sz w:val="22"/>
          <w:szCs w:val="22"/>
        </w:rPr>
        <w:t>Called prepaid debit or general purpose reloadable (GPR) cards, prepaid cards represent an important opportunity for underserved consumers by filling a longstanding need for those operating between traditional checking or savings accounts and the cash economy.</w:t>
      </w:r>
      <w:r w:rsidR="008666DC">
        <w:rPr>
          <w:rFonts w:ascii="Times New Roman" w:hAnsi="Times New Roman" w:cs="Times New Roman"/>
          <w:sz w:val="22"/>
          <w:szCs w:val="22"/>
        </w:rPr>
        <w:t>"</w:t>
      </w:r>
    </w:p>
    <w:p w14:paraId="1320116D" w14:textId="77777777" w:rsidR="008666DC" w:rsidRPr="00CF1046" w:rsidRDefault="00D60F39" w:rsidP="008666DC">
      <w:pPr>
        <w:numPr>
          <w:ilvl w:val="1"/>
          <w:numId w:val="1"/>
        </w:numPr>
        <w:jc w:val="both"/>
        <w:rPr>
          <w:rFonts w:ascii="Times New Roman" w:hAnsi="Times New Roman" w:cs="Times New Roman"/>
          <w:sz w:val="22"/>
          <w:szCs w:val="22"/>
        </w:rPr>
      </w:pPr>
      <w:hyperlink r:id="rId15" w:history="1">
        <w:r w:rsidR="008666DC" w:rsidRPr="00CF1046">
          <w:rPr>
            <w:rStyle w:val="Hyperlink"/>
            <w:rFonts w:ascii="Times New Roman" w:hAnsi="Times New Roman" w:cs="Times New Roman"/>
            <w:sz w:val="22"/>
            <w:szCs w:val="22"/>
          </w:rPr>
          <w:t>2016 Prepaid Scorecard</w:t>
        </w:r>
      </w:hyperlink>
      <w:r w:rsidR="008666DC" w:rsidRPr="00CF1046">
        <w:rPr>
          <w:rFonts w:ascii="Times New Roman" w:hAnsi="Times New Roman" w:cs="Times New Roman"/>
          <w:sz w:val="22"/>
          <w:szCs w:val="22"/>
        </w:rPr>
        <w:t xml:space="preserve">: </w:t>
      </w:r>
    </w:p>
    <w:p w14:paraId="50493061" w14:textId="77777777" w:rsidR="008666DC" w:rsidRPr="00CF1046" w:rsidRDefault="008666DC" w:rsidP="008666DC">
      <w:pPr>
        <w:numPr>
          <w:ilvl w:val="2"/>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Prepaid cards – specifically, general-purpose reloadable (GPR) cards – are versatile financial tools that provide consumers with valuable access to the financial system. When designed well, prepaid cards can help people build financial health by allowing them to spend wisely, save, and plan for the future.</w:t>
      </w:r>
      <w:r>
        <w:rPr>
          <w:rFonts w:ascii="Times New Roman" w:hAnsi="Times New Roman" w:cs="Times New Roman"/>
          <w:sz w:val="22"/>
          <w:szCs w:val="22"/>
        </w:rPr>
        <w:t>"</w:t>
      </w:r>
    </w:p>
    <w:p w14:paraId="22D1D268" w14:textId="77777777" w:rsidR="008666DC" w:rsidRPr="00CF1046" w:rsidRDefault="008666DC" w:rsidP="008666DC">
      <w:pPr>
        <w:numPr>
          <w:ilvl w:val="2"/>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Prepaid cards are generally high-quality products that allow consumers to build financial health by helping them spend wisely, save, and plan for the future.</w:t>
      </w:r>
      <w:r>
        <w:rPr>
          <w:rFonts w:ascii="Times New Roman" w:hAnsi="Times New Roman" w:cs="Times New Roman"/>
          <w:sz w:val="22"/>
          <w:szCs w:val="22"/>
        </w:rPr>
        <w:t>"</w:t>
      </w:r>
    </w:p>
    <w:p w14:paraId="66819919"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Federal Reserve </w:t>
      </w:r>
      <w:hyperlink r:id="rId16" w:history="1">
        <w:r w:rsidRPr="00CF1046">
          <w:rPr>
            <w:rStyle w:val="Hyperlink"/>
            <w:rFonts w:ascii="Times New Roman" w:hAnsi="Times New Roman" w:cs="Times New Roman"/>
            <w:sz w:val="22"/>
            <w:szCs w:val="22"/>
          </w:rPr>
          <w:t>Report to the Congress on Government-Administered, General-Use Prepaid Cards</w:t>
        </w:r>
      </w:hyperlink>
      <w:r w:rsidRPr="00CF1046">
        <w:rPr>
          <w:rFonts w:ascii="Times New Roman" w:hAnsi="Times New Roman" w:cs="Times New Roman"/>
          <w:sz w:val="22"/>
          <w:szCs w:val="22"/>
        </w:rPr>
        <w:t xml:space="preserve"> - September 2019: </w:t>
      </w:r>
    </w:p>
    <w:p w14:paraId="14DB5290"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Federal, state, and local government offices use prepaid cards to disburse funds at a lower cost than checks (or other paper-based payment instruments such as vouchers or coupons) and to provide an alternative to direct deposit for payment recipients, especially those recipients who do not have bank.</w:t>
      </w:r>
      <w:r>
        <w:rPr>
          <w:rFonts w:ascii="Times New Roman" w:hAnsi="Times New Roman" w:cs="Times New Roman"/>
          <w:sz w:val="22"/>
          <w:szCs w:val="22"/>
        </w:rPr>
        <w:t>"</w:t>
      </w:r>
    </w:p>
    <w:p w14:paraId="3CFB292B" w14:textId="77777777" w:rsidR="008666DC" w:rsidRPr="00CF1046" w:rsidRDefault="008666DC" w:rsidP="008666DC">
      <w:pPr>
        <w:numPr>
          <w:ilvl w:val="0"/>
          <w:numId w:val="1"/>
        </w:numPr>
        <w:jc w:val="both"/>
        <w:rPr>
          <w:rFonts w:ascii="Times New Roman" w:hAnsi="Times New Roman" w:cs="Times New Roman"/>
          <w:sz w:val="22"/>
          <w:szCs w:val="22"/>
        </w:rPr>
      </w:pPr>
      <w:r w:rsidRPr="00CF1046">
        <w:rPr>
          <w:rFonts w:ascii="Times New Roman" w:hAnsi="Times New Roman" w:cs="Times New Roman"/>
          <w:sz w:val="22"/>
          <w:szCs w:val="22"/>
        </w:rPr>
        <w:t xml:space="preserve">Former U.S. Treasurer Rosie Rios from 2011 </w:t>
      </w:r>
      <w:hyperlink r:id="rId17" w:history="1">
        <w:r w:rsidRPr="00CF1046">
          <w:rPr>
            <w:rStyle w:val="Hyperlink"/>
            <w:rFonts w:ascii="Times New Roman" w:hAnsi="Times New Roman" w:cs="Times New Roman"/>
            <w:sz w:val="22"/>
            <w:szCs w:val="22"/>
          </w:rPr>
          <w:t>announcement</w:t>
        </w:r>
      </w:hyperlink>
      <w:r w:rsidRPr="00CF1046">
        <w:rPr>
          <w:rFonts w:ascii="Times New Roman" w:hAnsi="Times New Roman" w:cs="Times New Roman"/>
          <w:sz w:val="22"/>
          <w:szCs w:val="22"/>
        </w:rPr>
        <w:t xml:space="preserve"> that new Social Security and other federal benefits would be made electronically : </w:t>
      </w:r>
    </w:p>
    <w:p w14:paraId="0A671BB5" w14:textId="77777777" w:rsidR="008666DC" w:rsidRPr="00CF1046" w:rsidRDefault="008666DC" w:rsidP="008666DC">
      <w:pPr>
        <w:numPr>
          <w:ilvl w:val="1"/>
          <w:numId w:val="1"/>
        </w:numPr>
        <w:jc w:val="both"/>
        <w:rPr>
          <w:rFonts w:ascii="Times New Roman" w:hAnsi="Times New Roman" w:cs="Times New Roman"/>
          <w:sz w:val="22"/>
          <w:szCs w:val="22"/>
        </w:rPr>
      </w:pPr>
      <w:r w:rsidRPr="00CF1046">
        <w:rPr>
          <w:rFonts w:ascii="Times New Roman" w:hAnsi="Times New Roman" w:cs="Times New Roman"/>
          <w:sz w:val="22"/>
          <w:szCs w:val="22"/>
        </w:rPr>
        <w:t>"It costs 92 cents more to issue a payment by paper check than by direct deposit. We are retiring the Social Security paper check option in favor of electronic payments because it is the right thing to do for benefit recipients and American taxpayers alike."</w:t>
      </w:r>
    </w:p>
    <w:p w14:paraId="309EB45D" w14:textId="77777777" w:rsidR="008666DC" w:rsidRPr="00CF1046" w:rsidRDefault="00D60F39" w:rsidP="008666DC">
      <w:pPr>
        <w:numPr>
          <w:ilvl w:val="0"/>
          <w:numId w:val="1"/>
        </w:numPr>
        <w:jc w:val="both"/>
        <w:rPr>
          <w:rFonts w:ascii="Times New Roman" w:hAnsi="Times New Roman" w:cs="Times New Roman"/>
          <w:sz w:val="22"/>
          <w:szCs w:val="22"/>
        </w:rPr>
      </w:pPr>
      <w:hyperlink r:id="rId18" w:history="1">
        <w:r w:rsidR="008666DC" w:rsidRPr="00CF1046">
          <w:rPr>
            <w:rStyle w:val="Hyperlink"/>
            <w:rFonts w:ascii="Times New Roman" w:hAnsi="Times New Roman" w:cs="Times New Roman"/>
            <w:sz w:val="22"/>
            <w:szCs w:val="22"/>
          </w:rPr>
          <w:t>Letter</w:t>
        </w:r>
      </w:hyperlink>
      <w:r w:rsidR="008666DC" w:rsidRPr="00CF1046">
        <w:rPr>
          <w:rFonts w:ascii="Times New Roman" w:hAnsi="Times New Roman" w:cs="Times New Roman"/>
          <w:sz w:val="22"/>
          <w:szCs w:val="22"/>
        </w:rPr>
        <w:t xml:space="preserve"> from Rep. Gregory Meeks (D-NY), Chairman of Subcommittee on Consumer Protection and Financial Institutions of the House Financial Services Committee, and Rep. Scott Tipton (R-CO), </w:t>
      </w:r>
      <w:r w:rsidR="008666DC" w:rsidRPr="00CF1046">
        <w:rPr>
          <w:rFonts w:ascii="Times New Roman" w:hAnsi="Times New Roman" w:cs="Times New Roman"/>
          <w:sz w:val="22"/>
          <w:szCs w:val="22"/>
        </w:rPr>
        <w:lastRenderedPageBreak/>
        <w:t>Vice Ranking Member of the Subcommittee on Consumer Protection and Financial Institutions, to Treasury proposing to give unbanked Americans the option and ability to receive their CARES Act funds directly into a newly-opened, no-cost or minimal-cost bank account that has a linked digital and/or physical card:</w:t>
      </w:r>
    </w:p>
    <w:p w14:paraId="537A23CF"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 xml:space="preserve">This solution will have the following benefits: </w:t>
      </w:r>
    </w:p>
    <w:p w14:paraId="0FBC95BE" w14:textId="77777777" w:rsidR="008666DC" w:rsidRPr="00CF1046" w:rsidRDefault="008666DC" w:rsidP="008666DC">
      <w:pPr>
        <w:jc w:val="both"/>
        <w:rPr>
          <w:rFonts w:ascii="Times New Roman" w:hAnsi="Times New Roman" w:cs="Times New Roman"/>
          <w:sz w:val="22"/>
          <w:szCs w:val="22"/>
        </w:rPr>
      </w:pPr>
      <w:r w:rsidRPr="00CF1046">
        <w:rPr>
          <w:rFonts w:ascii="Times New Roman" w:hAnsi="Times New Roman" w:cs="Times New Roman"/>
          <w:sz w:val="22"/>
          <w:szCs w:val="22"/>
        </w:rPr>
        <w:t xml:space="preserve">1. It will provide immediate access to funds. Virtual cards linked to the bank accounts give access to the funds on the same timeframe as if the recipient had direct deposit. The funds can be accessed and used anywhere electronically until the physical debit card arrives. </w:t>
      </w:r>
    </w:p>
    <w:p w14:paraId="50C94FD2" w14:textId="77777777" w:rsidR="008666DC" w:rsidRPr="00CF1046" w:rsidRDefault="008666DC" w:rsidP="008666DC">
      <w:pPr>
        <w:jc w:val="both"/>
        <w:rPr>
          <w:rFonts w:ascii="Times New Roman" w:hAnsi="Times New Roman" w:cs="Times New Roman"/>
          <w:sz w:val="22"/>
          <w:szCs w:val="22"/>
        </w:rPr>
      </w:pPr>
      <w:r w:rsidRPr="00CF1046">
        <w:rPr>
          <w:rFonts w:ascii="Times New Roman" w:hAnsi="Times New Roman" w:cs="Times New Roman"/>
          <w:sz w:val="22"/>
          <w:szCs w:val="22"/>
        </w:rPr>
        <w:t xml:space="preserve">2. The use of such cards would ensure that funds distributed are FDIC insured, and thus protect recipients from theft and fraud. </w:t>
      </w:r>
    </w:p>
    <w:p w14:paraId="56081529" w14:textId="77777777" w:rsidR="008666DC" w:rsidRPr="00CF1046" w:rsidRDefault="008666DC" w:rsidP="008666DC">
      <w:pPr>
        <w:jc w:val="both"/>
        <w:rPr>
          <w:rFonts w:ascii="Times New Roman" w:hAnsi="Times New Roman" w:cs="Times New Roman"/>
          <w:sz w:val="22"/>
          <w:szCs w:val="22"/>
        </w:rPr>
      </w:pPr>
      <w:r w:rsidRPr="00CF1046">
        <w:rPr>
          <w:rFonts w:ascii="Times New Roman" w:hAnsi="Times New Roman" w:cs="Times New Roman"/>
          <w:sz w:val="22"/>
          <w:szCs w:val="22"/>
        </w:rPr>
        <w:t xml:space="preserve">3. Such a solution avoids the significant costs and risks of check cashing and processing, as well as the health risks associated with accessing physical locations. This solution would have zero cost for recipients. </w:t>
      </w:r>
    </w:p>
    <w:p w14:paraId="0F20B8FD" w14:textId="77777777" w:rsidR="008666DC" w:rsidRPr="00CF1046" w:rsidRDefault="008666DC" w:rsidP="008666DC">
      <w:pPr>
        <w:jc w:val="both"/>
        <w:rPr>
          <w:rFonts w:ascii="Times New Roman" w:hAnsi="Times New Roman" w:cs="Times New Roman"/>
          <w:sz w:val="22"/>
          <w:szCs w:val="22"/>
        </w:rPr>
      </w:pPr>
      <w:r w:rsidRPr="00CF1046">
        <w:rPr>
          <w:rFonts w:ascii="Times New Roman" w:hAnsi="Times New Roman" w:cs="Times New Roman"/>
          <w:sz w:val="22"/>
          <w:szCs w:val="22"/>
        </w:rPr>
        <w:t>4. This solution also avoids the significant costs of printing checks, postage and reconciling unbanked checks, and other costs borne by Treasury when issuing physical checks.</w:t>
      </w:r>
      <w:r>
        <w:rPr>
          <w:rFonts w:ascii="Times New Roman" w:hAnsi="Times New Roman" w:cs="Times New Roman"/>
          <w:sz w:val="22"/>
          <w:szCs w:val="22"/>
        </w:rPr>
        <w:t>"</w:t>
      </w:r>
    </w:p>
    <w:p w14:paraId="75657562"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This solution has the added benefit of bringing a significant share of unbanked Americans on the path to inclusion into the mainstream financial system.</w:t>
      </w:r>
      <w:r>
        <w:rPr>
          <w:rFonts w:ascii="Times New Roman" w:hAnsi="Times New Roman" w:cs="Times New Roman"/>
          <w:sz w:val="22"/>
          <w:szCs w:val="22"/>
        </w:rPr>
        <w:t>"</w:t>
      </w:r>
    </w:p>
    <w:p w14:paraId="505528A3" w14:textId="77777777" w:rsidR="008666DC" w:rsidRPr="00CF1046" w:rsidRDefault="00D60F39" w:rsidP="008666DC">
      <w:pPr>
        <w:numPr>
          <w:ilvl w:val="0"/>
          <w:numId w:val="1"/>
        </w:numPr>
        <w:jc w:val="both"/>
        <w:rPr>
          <w:rFonts w:ascii="Times New Roman" w:hAnsi="Times New Roman" w:cs="Times New Roman"/>
          <w:sz w:val="22"/>
          <w:szCs w:val="22"/>
        </w:rPr>
      </w:pPr>
      <w:hyperlink r:id="rId19" w:history="1">
        <w:r w:rsidR="008666DC" w:rsidRPr="00CF1046">
          <w:rPr>
            <w:rStyle w:val="Hyperlink"/>
            <w:rFonts w:ascii="Times New Roman" w:hAnsi="Times New Roman" w:cs="Times New Roman"/>
            <w:sz w:val="22"/>
            <w:szCs w:val="22"/>
          </w:rPr>
          <w:t>Letter</w:t>
        </w:r>
      </w:hyperlink>
      <w:r w:rsidR="008666DC" w:rsidRPr="00CF1046">
        <w:rPr>
          <w:rFonts w:ascii="Times New Roman" w:hAnsi="Times New Roman" w:cs="Times New Roman"/>
          <w:sz w:val="22"/>
          <w:szCs w:val="22"/>
        </w:rPr>
        <w:t xml:space="preserve"> from Rep. Sanford Bishop (D-GA) to Treasury on the benefits of prepaid and recommending Treasury include an option for “GPR cards” in their online portals: </w:t>
      </w:r>
    </w:p>
    <w:p w14:paraId="6E04CEC0"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General Purpose Reloadable (GPR) cards can often be more affordable than check cashing for many of the citizens receiving these funds and can be delivered much more quickly.</w:t>
      </w:r>
      <w:r>
        <w:rPr>
          <w:rFonts w:ascii="Times New Roman" w:hAnsi="Times New Roman" w:cs="Times New Roman"/>
          <w:sz w:val="22"/>
          <w:szCs w:val="22"/>
        </w:rPr>
        <w:t>"</w:t>
      </w:r>
    </w:p>
    <w:p w14:paraId="497C9E46"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GPR cards, directly distributed to these individuals, could be a valuable and efficient alternative for this group as they provide an access to funds that is less expensive than cashing checks, easy-to-use, and generate immediate economic activity. My understanding is that they are also safe and secure, due to the protections provided by their issuers. I recommend that the IRS consider including a GPR card option for receiving the relief funds, alongside direct deposit and checks. In addition, I urge the IRS to allow already existing GPR card routing and account numbers to be approved for use on the new website.</w:t>
      </w:r>
      <w:r>
        <w:rPr>
          <w:rFonts w:ascii="Times New Roman" w:hAnsi="Times New Roman" w:cs="Times New Roman"/>
          <w:sz w:val="22"/>
          <w:szCs w:val="22"/>
        </w:rPr>
        <w:t>"</w:t>
      </w:r>
    </w:p>
    <w:p w14:paraId="4CD0CD74" w14:textId="77777777" w:rsidR="008666DC" w:rsidRPr="00CF1046" w:rsidRDefault="00D60F39" w:rsidP="008666DC">
      <w:pPr>
        <w:numPr>
          <w:ilvl w:val="0"/>
          <w:numId w:val="1"/>
        </w:numPr>
        <w:jc w:val="both"/>
        <w:rPr>
          <w:rFonts w:ascii="Times New Roman" w:hAnsi="Times New Roman" w:cs="Times New Roman"/>
          <w:sz w:val="22"/>
          <w:szCs w:val="22"/>
        </w:rPr>
      </w:pPr>
      <w:hyperlink r:id="rId20" w:history="1">
        <w:r w:rsidR="008666DC" w:rsidRPr="00CF1046">
          <w:rPr>
            <w:rStyle w:val="Hyperlink"/>
            <w:rFonts w:ascii="Times New Roman" w:hAnsi="Times New Roman" w:cs="Times New Roman"/>
            <w:sz w:val="22"/>
            <w:szCs w:val="22"/>
          </w:rPr>
          <w:t>Letter</w:t>
        </w:r>
      </w:hyperlink>
      <w:r w:rsidR="008666DC" w:rsidRPr="00CF1046">
        <w:rPr>
          <w:rFonts w:ascii="Times New Roman" w:hAnsi="Times New Roman" w:cs="Times New Roman"/>
          <w:sz w:val="22"/>
          <w:szCs w:val="22"/>
        </w:rPr>
        <w:t xml:space="preserve"> from Rep. Lucy McBath (D-GA) to Treasury on the benefits of prepaid:</w:t>
      </w:r>
    </w:p>
    <w:p w14:paraId="0166B5CF"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I write to you to respectfully request that Treasury, where available, allow the forthcoming economic impact payments to be disbursed via General Purpose Reloadable (GPR) cards. GPR cards can often be more affordable than check cashing and can be delivered to citizens faster. The option to receive GPR cards may help unbanked and underbanked Americans receive their economic impact payments</w:t>
      </w:r>
      <w:r w:rsidRPr="00CF1046">
        <w:rPr>
          <w:rFonts w:ascii="Times New Roman" w:hAnsi="Times New Roman" w:cs="Times New Roman"/>
          <w:b/>
          <w:sz w:val="22"/>
          <w:szCs w:val="22"/>
        </w:rPr>
        <w:t xml:space="preserve"> </w:t>
      </w:r>
      <w:r w:rsidRPr="00CF1046">
        <w:rPr>
          <w:rFonts w:ascii="Times New Roman" w:hAnsi="Times New Roman" w:cs="Times New Roman"/>
          <w:sz w:val="22"/>
          <w:szCs w:val="22"/>
        </w:rPr>
        <w:t>allocated to them under the CARES Act.</w:t>
      </w:r>
      <w:r>
        <w:rPr>
          <w:rFonts w:ascii="Times New Roman" w:hAnsi="Times New Roman" w:cs="Times New Roman"/>
          <w:sz w:val="22"/>
          <w:szCs w:val="22"/>
        </w:rPr>
        <w:t>"</w:t>
      </w:r>
    </w:p>
    <w:p w14:paraId="5C59716E"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Currently, millions of taxpayers receive their tax refunds on prepaid debit cards-it is important that all of these individuals have the option to receive their economic impact payments similarly. Instead of having to wait for a paper check that could take up to 20 weeks to arrive, they would receive their economic impact payments with the rest of their regular direct deposit.</w:t>
      </w:r>
      <w:r>
        <w:rPr>
          <w:rFonts w:ascii="Times New Roman" w:hAnsi="Times New Roman" w:cs="Times New Roman"/>
          <w:sz w:val="22"/>
          <w:szCs w:val="22"/>
        </w:rPr>
        <w:t>"</w:t>
      </w:r>
    </w:p>
    <w:p w14:paraId="6E6181BE"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Prepaid debt cards are a proven, secure, and efficient alternative distribution method, and would generate immediate economic activity. I request the IRS consider including a prepaid card disbursement option alongside the direct deposit and check. This is a timely solution to ensure payments are received as quickly as possible.</w:t>
      </w:r>
      <w:r>
        <w:rPr>
          <w:rFonts w:ascii="Times New Roman" w:hAnsi="Times New Roman" w:cs="Times New Roman"/>
          <w:sz w:val="22"/>
          <w:szCs w:val="22"/>
        </w:rPr>
        <w:t>"</w:t>
      </w:r>
    </w:p>
    <w:p w14:paraId="2DBB5A33"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lastRenderedPageBreak/>
        <w:t>"</w:t>
      </w:r>
      <w:r w:rsidRPr="00CF1046">
        <w:rPr>
          <w:rFonts w:ascii="Times New Roman" w:hAnsi="Times New Roman" w:cs="Times New Roman"/>
          <w:sz w:val="22"/>
          <w:szCs w:val="22"/>
        </w:rPr>
        <w:t>During this unprecedented time, it is necessary that all options are utilized to ensure the economic and social well-being of our citizens. I urge the department to consider the GPR card as an option for citizens to receive their economic impact payment.</w:t>
      </w:r>
      <w:r>
        <w:rPr>
          <w:rFonts w:ascii="Times New Roman" w:hAnsi="Times New Roman" w:cs="Times New Roman"/>
          <w:sz w:val="22"/>
          <w:szCs w:val="22"/>
        </w:rPr>
        <w:t>"</w:t>
      </w:r>
    </w:p>
    <w:p w14:paraId="078019E4" w14:textId="77777777" w:rsidR="008666DC" w:rsidRPr="00CF1046" w:rsidRDefault="00D60F39" w:rsidP="008666DC">
      <w:pPr>
        <w:numPr>
          <w:ilvl w:val="0"/>
          <w:numId w:val="1"/>
        </w:numPr>
        <w:jc w:val="both"/>
        <w:rPr>
          <w:rFonts w:ascii="Times New Roman" w:hAnsi="Times New Roman" w:cs="Times New Roman"/>
          <w:sz w:val="22"/>
          <w:szCs w:val="22"/>
        </w:rPr>
      </w:pPr>
      <w:hyperlink r:id="rId21" w:history="1">
        <w:r w:rsidR="008666DC" w:rsidRPr="00CF1046">
          <w:rPr>
            <w:rStyle w:val="Hyperlink"/>
            <w:rFonts w:ascii="Times New Roman" w:hAnsi="Times New Roman" w:cs="Times New Roman"/>
            <w:sz w:val="22"/>
            <w:szCs w:val="22"/>
          </w:rPr>
          <w:t>Letter</w:t>
        </w:r>
      </w:hyperlink>
      <w:r w:rsidR="008666DC" w:rsidRPr="00CF1046">
        <w:rPr>
          <w:rFonts w:ascii="Times New Roman" w:hAnsi="Times New Roman" w:cs="Times New Roman"/>
          <w:sz w:val="22"/>
          <w:szCs w:val="22"/>
        </w:rPr>
        <w:t xml:space="preserve"> from Sens. Doug Jones (D-AL) and Tom Cotton (R-AR), both members of the Senate Banking Committee, to Treasury requesting they utilize its Direct Express debit card as one method for disbursing Economic Impact Payments: </w:t>
      </w:r>
    </w:p>
    <w:p w14:paraId="586DFE9E"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In order to provide this much needed assistance directly and quickly, we request the Treasury Department utilize its Direct Express debit card as one method, at the option of the individual, for disbursing these payments as an alternative to paper checks.</w:t>
      </w:r>
      <w:r>
        <w:rPr>
          <w:rFonts w:ascii="Times New Roman" w:hAnsi="Times New Roman" w:cs="Times New Roman"/>
          <w:sz w:val="22"/>
          <w:szCs w:val="22"/>
        </w:rPr>
        <w:t>"</w:t>
      </w:r>
    </w:p>
    <w:p w14:paraId="0ECDD57C"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It is our understanding that payments made electronically can be distributed quickly, but the Internal Revenue System (IRS) must print paper checks and mail them separately. As a result, we encourage the Treasury Department to offer a targeted group of Americans the option of receiving their direct assistance payment on the Direct Express debit cards, which are used for other federal benefits like Social Security and Veterans Affairs benefits. Using debit cards could be limited to Americans eligible for this program not already signed up for direct deposit, have a bank account, or require a paper check.</w:t>
      </w:r>
      <w:r>
        <w:rPr>
          <w:rFonts w:ascii="Times New Roman" w:hAnsi="Times New Roman" w:cs="Times New Roman"/>
          <w:sz w:val="22"/>
          <w:szCs w:val="22"/>
        </w:rPr>
        <w:t>"</w:t>
      </w:r>
    </w:p>
    <w:p w14:paraId="0983A09C"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…we support delivering benefits automatically to as many people as possible and request that debit cards be offered as an option to distribute the assistance payment. Debit cards are a safer method of delivery than paper checks. Paper checks will force Americans to leave their homes to deposit the funds and can be a source of fraud.</w:t>
      </w:r>
      <w:r>
        <w:rPr>
          <w:rFonts w:ascii="Times New Roman" w:hAnsi="Times New Roman" w:cs="Times New Roman"/>
          <w:sz w:val="22"/>
          <w:szCs w:val="22"/>
        </w:rPr>
        <w:t>"</w:t>
      </w:r>
    </w:p>
    <w:p w14:paraId="19B53ABE" w14:textId="77777777" w:rsidR="008666DC" w:rsidRPr="00CF1046" w:rsidRDefault="00D60F39" w:rsidP="008666DC">
      <w:pPr>
        <w:numPr>
          <w:ilvl w:val="0"/>
          <w:numId w:val="1"/>
        </w:numPr>
        <w:jc w:val="both"/>
        <w:rPr>
          <w:rFonts w:ascii="Times New Roman" w:hAnsi="Times New Roman" w:cs="Times New Roman"/>
          <w:sz w:val="22"/>
          <w:szCs w:val="22"/>
        </w:rPr>
      </w:pPr>
      <w:hyperlink r:id="rId22" w:history="1">
        <w:r w:rsidR="008666DC" w:rsidRPr="00CF1046">
          <w:rPr>
            <w:rStyle w:val="Hyperlink"/>
            <w:rFonts w:ascii="Times New Roman" w:hAnsi="Times New Roman" w:cs="Times New Roman"/>
            <w:sz w:val="22"/>
            <w:szCs w:val="22"/>
          </w:rPr>
          <w:t>Letter</w:t>
        </w:r>
      </w:hyperlink>
      <w:r w:rsidR="008666DC" w:rsidRPr="00CF1046">
        <w:rPr>
          <w:rFonts w:ascii="Times New Roman" w:hAnsi="Times New Roman" w:cs="Times New Roman"/>
          <w:sz w:val="22"/>
          <w:szCs w:val="22"/>
        </w:rPr>
        <w:t xml:space="preserve"> from Reps. Barry Loudermilk (R-GA) &amp; Bill Foster (D-IL) on the IRS</w:t>
      </w:r>
      <w:r w:rsidR="008666DC">
        <w:rPr>
          <w:rFonts w:ascii="Times New Roman" w:hAnsi="Times New Roman" w:cs="Times New Roman"/>
          <w:sz w:val="22"/>
          <w:szCs w:val="22"/>
        </w:rPr>
        <w:t>'</w:t>
      </w:r>
      <w:r w:rsidR="008666DC" w:rsidRPr="00CF1046">
        <w:rPr>
          <w:rFonts w:ascii="Times New Roman" w:hAnsi="Times New Roman" w:cs="Times New Roman"/>
          <w:sz w:val="22"/>
          <w:szCs w:val="22"/>
        </w:rPr>
        <w:t xml:space="preserve"> web portals</w:t>
      </w:r>
    </w:p>
    <w:p w14:paraId="589B5C18"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Fortunately, there are well-established payment methods available from private sector payments providers, including diverse, innovativ</w:t>
      </w:r>
      <w:r>
        <w:rPr>
          <w:rFonts w:ascii="Times New Roman" w:hAnsi="Times New Roman" w:cs="Times New Roman"/>
          <w:sz w:val="22"/>
          <w:szCs w:val="22"/>
        </w:rPr>
        <w:t xml:space="preserve">e financial services companies, </w:t>
      </w:r>
      <w:r w:rsidRPr="00CF1046">
        <w:rPr>
          <w:rFonts w:ascii="Times New Roman" w:hAnsi="Times New Roman" w:cs="Times New Roman"/>
          <w:sz w:val="22"/>
          <w:szCs w:val="22"/>
        </w:rPr>
        <w:t>that can assist with distributing these funds. General purpose reloadable (GPR) cards are one such method for which the process for an individual to receive the payment would be relatively simple. An eligible individual could order a GPR card online without having to go into a physical store, input the card information and their personal information into the IRS portal, and receive the funds onto the card– and the cardholder could even use the funds to make purchases online or via mobile pay using the card number before the physical card arrives in the mail. We believe this would be a much more effective method of distributing funds than sending out millions of paper checks to Americans, many of whom do not have a checking account.</w:t>
      </w:r>
      <w:r>
        <w:rPr>
          <w:rFonts w:ascii="Times New Roman" w:hAnsi="Times New Roman" w:cs="Times New Roman"/>
          <w:sz w:val="22"/>
          <w:szCs w:val="22"/>
        </w:rPr>
        <w:t>"</w:t>
      </w:r>
    </w:p>
    <w:p w14:paraId="5B28F316" w14:textId="77777777" w:rsidR="008666DC" w:rsidRPr="00CF1046" w:rsidRDefault="008666DC" w:rsidP="008666DC">
      <w:pPr>
        <w:numPr>
          <w:ilvl w:val="1"/>
          <w:numId w:val="1"/>
        </w:numPr>
        <w:jc w:val="both"/>
        <w:rPr>
          <w:rFonts w:ascii="Times New Roman" w:hAnsi="Times New Roman" w:cs="Times New Roman"/>
          <w:sz w:val="22"/>
          <w:szCs w:val="22"/>
        </w:rPr>
      </w:pPr>
      <w:r>
        <w:rPr>
          <w:rFonts w:ascii="Times New Roman" w:hAnsi="Times New Roman" w:cs="Times New Roman"/>
          <w:sz w:val="22"/>
          <w:szCs w:val="22"/>
        </w:rPr>
        <w:t>"</w:t>
      </w:r>
      <w:r w:rsidRPr="00CF1046">
        <w:rPr>
          <w:rFonts w:ascii="Times New Roman" w:hAnsi="Times New Roman" w:cs="Times New Roman"/>
          <w:sz w:val="22"/>
          <w:szCs w:val="22"/>
        </w:rPr>
        <w:t>However, we also believe it is critically important for the IRS to update its non-filers portal and get my payment portal to make it clear that GPR cards are an option as those are the primary places where consumers will go for information about their recovery rebate. This would help reduce public confusion and allow a large segment of Americans to receive their support payments more quickly. We have learned that some individuals are unaware that they can use their GPR card</w:t>
      </w:r>
      <w:r>
        <w:rPr>
          <w:rFonts w:ascii="Times New Roman" w:hAnsi="Times New Roman" w:cs="Times New Roman"/>
          <w:sz w:val="22"/>
          <w:szCs w:val="22"/>
        </w:rPr>
        <w:t>'</w:t>
      </w:r>
      <w:r w:rsidRPr="00CF1046">
        <w:rPr>
          <w:rFonts w:ascii="Times New Roman" w:hAnsi="Times New Roman" w:cs="Times New Roman"/>
          <w:sz w:val="22"/>
          <w:szCs w:val="22"/>
        </w:rPr>
        <w:t>s routing and direct deposit number to register their card with the IRS and expedite their payment. Accordingly, we respectfully request that GPR cards be clearly listed as an option in the IRS</w:t>
      </w:r>
      <w:r>
        <w:rPr>
          <w:rFonts w:ascii="Times New Roman" w:hAnsi="Times New Roman" w:cs="Times New Roman"/>
          <w:sz w:val="22"/>
          <w:szCs w:val="22"/>
        </w:rPr>
        <w:t>'</w:t>
      </w:r>
      <w:r w:rsidRPr="00CF1046">
        <w:rPr>
          <w:rFonts w:ascii="Times New Roman" w:hAnsi="Times New Roman" w:cs="Times New Roman"/>
          <w:sz w:val="22"/>
          <w:szCs w:val="22"/>
        </w:rPr>
        <w:t>s portals so that millions of Americans with GPR cards will know that they can use their card and know how to register it with Treasury and receive a direct deposit in a timely manner.</w:t>
      </w:r>
      <w:r>
        <w:rPr>
          <w:rFonts w:ascii="Times New Roman" w:hAnsi="Times New Roman" w:cs="Times New Roman"/>
          <w:sz w:val="22"/>
          <w:szCs w:val="22"/>
        </w:rPr>
        <w:t>"</w:t>
      </w:r>
    </w:p>
    <w:p w14:paraId="4D02822F" w14:textId="77777777" w:rsidR="008666DC" w:rsidRPr="001A5C05" w:rsidRDefault="008666DC">
      <w:pPr>
        <w:spacing w:line="200" w:lineRule="exact"/>
        <w:rPr>
          <w:rStyle w:val="zzmpTrailerItem"/>
        </w:rPr>
      </w:pPr>
    </w:p>
    <w:p w14:paraId="74493431" w14:textId="77777777" w:rsidR="001A5C05" w:rsidRDefault="001A5C05" w:rsidP="001A5C05">
      <w:pPr>
        <w:spacing w:line="200" w:lineRule="exact"/>
      </w:pPr>
      <w:r w:rsidRPr="001A5C05">
        <w:rPr>
          <w:rStyle w:val="zzmpTrailerItem"/>
        </w:rPr>
        <w:t>DOCS/2593897.1</w:t>
      </w:r>
      <w:r w:rsidRPr="001A5C05">
        <w:t xml:space="preserve"> </w:t>
      </w:r>
    </w:p>
    <w:sectPr w:rsidR="001A5C05">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F9E13" w14:textId="77777777" w:rsidR="00584744" w:rsidRDefault="00584744" w:rsidP="00584744">
      <w:r>
        <w:separator/>
      </w:r>
    </w:p>
  </w:endnote>
  <w:endnote w:type="continuationSeparator" w:id="0">
    <w:p w14:paraId="5496B920" w14:textId="77777777" w:rsidR="00584744" w:rsidRDefault="00584744" w:rsidP="0058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25877"/>
      <w:docPartObj>
        <w:docPartGallery w:val="Page Numbers (Bottom of Page)"/>
        <w:docPartUnique/>
      </w:docPartObj>
    </w:sdtPr>
    <w:sdtEndPr>
      <w:rPr>
        <w:rFonts w:ascii="Times New Roman" w:hAnsi="Times New Roman"/>
        <w:noProof/>
        <w:sz w:val="20"/>
        <w:szCs w:val="20"/>
      </w:rPr>
    </w:sdtEndPr>
    <w:sdtContent>
      <w:p w14:paraId="5CCDEA71" w14:textId="2D925960" w:rsidR="007E5FF5" w:rsidRPr="004218EE" w:rsidRDefault="001A5C05">
        <w:pPr>
          <w:pStyle w:val="Footer"/>
          <w:jc w:val="center"/>
          <w:rPr>
            <w:rFonts w:ascii="Times New Roman" w:hAnsi="Times New Roman"/>
            <w:sz w:val="20"/>
            <w:szCs w:val="20"/>
          </w:rPr>
        </w:pPr>
        <w:r w:rsidRPr="004218EE">
          <w:rPr>
            <w:rFonts w:ascii="Times New Roman" w:hAnsi="Times New Roman"/>
            <w:sz w:val="20"/>
            <w:szCs w:val="20"/>
          </w:rPr>
          <w:fldChar w:fldCharType="begin"/>
        </w:r>
        <w:r w:rsidRPr="004218EE">
          <w:rPr>
            <w:rFonts w:ascii="Times New Roman" w:hAnsi="Times New Roman"/>
            <w:sz w:val="20"/>
            <w:szCs w:val="20"/>
          </w:rPr>
          <w:instrText xml:space="preserve"> PAGE   \* MERGEFORMAT </w:instrText>
        </w:r>
        <w:r w:rsidRPr="004218EE">
          <w:rPr>
            <w:rFonts w:ascii="Times New Roman" w:hAnsi="Times New Roman"/>
            <w:sz w:val="20"/>
            <w:szCs w:val="20"/>
          </w:rPr>
          <w:fldChar w:fldCharType="separate"/>
        </w:r>
        <w:r w:rsidR="00D60F39">
          <w:rPr>
            <w:rFonts w:ascii="Times New Roman" w:hAnsi="Times New Roman"/>
            <w:noProof/>
            <w:sz w:val="20"/>
            <w:szCs w:val="20"/>
          </w:rPr>
          <w:t>3</w:t>
        </w:r>
        <w:r w:rsidRPr="004218EE">
          <w:rPr>
            <w:rFonts w:ascii="Times New Roman" w:hAnsi="Times New Roman"/>
            <w:noProof/>
            <w:sz w:val="20"/>
            <w:szCs w:val="20"/>
          </w:rPr>
          <w:fldChar w:fldCharType="end"/>
        </w:r>
      </w:p>
    </w:sdtContent>
  </w:sdt>
  <w:p w14:paraId="62A7E8EF" w14:textId="77777777" w:rsidR="007E5FF5" w:rsidRDefault="00D60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ED05B" w14:textId="77777777" w:rsidR="00584744" w:rsidRDefault="00584744" w:rsidP="00584744">
      <w:r>
        <w:separator/>
      </w:r>
    </w:p>
  </w:footnote>
  <w:footnote w:type="continuationSeparator" w:id="0">
    <w:p w14:paraId="1391AFE0" w14:textId="77777777" w:rsidR="00584744" w:rsidRDefault="00584744" w:rsidP="00584744">
      <w:r>
        <w:continuationSeparator/>
      </w:r>
    </w:p>
  </w:footnote>
  <w:footnote w:id="1">
    <w:p w14:paraId="1ED90791" w14:textId="77777777" w:rsidR="00584744" w:rsidRPr="00106A30" w:rsidRDefault="00584744" w:rsidP="00A66247">
      <w:pPr>
        <w:pStyle w:val="FootnoteText"/>
        <w:jc w:val="both"/>
      </w:pPr>
      <w:r w:rsidRPr="00106A30">
        <w:rPr>
          <w:rStyle w:val="FootnoteReference"/>
        </w:rPr>
        <w:footnoteRef/>
      </w:r>
      <w:r w:rsidRPr="00106A30">
        <w:t xml:space="preserve"> The IPA is a trade organization that serves as the leading voice of the electronic payments sector, including prepaid products, mobile wallets, and person-to-person (P2P) technology for consumers, businesses and governments at all levels. The IPA's goal is to encourage efficient use of electronic payments, cultivate financial inclusion through educating and empowering consumers, represent the industry before legislative and regulatory bodies, and provide thought leadership. The comments made in this letter do not necessarily represent the position of all members of the IPA.            </w:t>
      </w:r>
    </w:p>
  </w:footnote>
  <w:footnote w:id="2">
    <w:p w14:paraId="07041674" w14:textId="339F052A" w:rsidR="006A331A" w:rsidRDefault="006A331A" w:rsidP="00A66247">
      <w:pPr>
        <w:pStyle w:val="FootnoteText"/>
        <w:jc w:val="both"/>
      </w:pPr>
      <w:r>
        <w:rPr>
          <w:rStyle w:val="FootnoteReference"/>
        </w:rPr>
        <w:footnoteRef/>
      </w:r>
      <w:r>
        <w:t xml:space="preserve"> </w:t>
      </w:r>
      <w:r w:rsidR="00FB4D98">
        <w:t>12 CFR Part 235.</w:t>
      </w:r>
      <w:r w:rsidR="00E053CB">
        <w:t xml:space="preserve"> Our members are aware that some industry groups </w:t>
      </w:r>
      <w:r w:rsidR="00A66247">
        <w:t>such as T</w:t>
      </w:r>
      <w:r w:rsidR="00E053CB">
        <w:t xml:space="preserve">he Clearinghouse Association have gone as far as to actively urge the Board to </w:t>
      </w:r>
      <w:r w:rsidR="00A66247">
        <w:t>modify</w:t>
      </w:r>
      <w:r w:rsidR="00E053CB">
        <w:t xml:space="preserve"> Regulation II</w:t>
      </w:r>
      <w:r w:rsidR="00A66247">
        <w:t xml:space="preserve"> by issuing new FAQs and revising the official commentary –</w:t>
      </w:r>
      <w:r w:rsidR="00A66247" w:rsidRPr="00A66247">
        <w:t xml:space="preserve"> </w:t>
      </w:r>
      <w:hyperlink r:id="rId1" w:history="1">
        <w:r w:rsidR="00A66247" w:rsidRPr="00FC64AC">
          <w:rPr>
            <w:rStyle w:val="Hyperlink"/>
          </w:rPr>
          <w:t>https://www.federalreserve.gov/regreform/rr-commpublic/tch-meeting-20201210.pdf</w:t>
        </w:r>
      </w:hyperlink>
      <w:r w:rsidR="00A66247">
        <w:t xml:space="preserve">. </w:t>
      </w:r>
    </w:p>
  </w:footnote>
  <w:footnote w:id="3">
    <w:p w14:paraId="42DE0C46" w14:textId="77777777" w:rsidR="00227601" w:rsidRDefault="00227601" w:rsidP="00A66247">
      <w:pPr>
        <w:pStyle w:val="FootnoteText"/>
        <w:jc w:val="both"/>
      </w:pPr>
      <w:r>
        <w:rPr>
          <w:rStyle w:val="FootnoteReference"/>
        </w:rPr>
        <w:footnoteRef/>
      </w:r>
      <w:r>
        <w:t xml:space="preserve"> </w:t>
      </w:r>
      <w:r w:rsidR="001210E6">
        <w:t xml:space="preserve">According to a study by Mercator Advisory Group, </w:t>
      </w:r>
      <w:r w:rsidR="001210E6" w:rsidRPr="001210E6">
        <w:t xml:space="preserve">the prepaid market is expected to continue to grow </w:t>
      </w:r>
      <w:r w:rsidR="00E053CB">
        <w:t xml:space="preserve">to $427.7 Billion by </w:t>
      </w:r>
      <w:r w:rsidR="00E053CB" w:rsidRPr="00323031">
        <w:t>2021</w:t>
      </w:r>
      <w:r w:rsidR="00E053C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859"/>
      <w:gridCol w:w="5501"/>
    </w:tblGrid>
    <w:tr w:rsidR="001D6404" w:rsidRPr="00654F61" w14:paraId="5C0E54A1" w14:textId="77777777" w:rsidTr="00C673C7">
      <w:tc>
        <w:tcPr>
          <w:tcW w:w="4932" w:type="dxa"/>
          <w:shd w:val="clear" w:color="auto" w:fill="auto"/>
        </w:tcPr>
        <w:p w14:paraId="472B5651" w14:textId="77777777" w:rsidR="001D6404" w:rsidRPr="003F146F" w:rsidRDefault="001A5C05" w:rsidP="001D6404">
          <w:pPr>
            <w:tabs>
              <w:tab w:val="center" w:pos="4680"/>
              <w:tab w:val="right" w:pos="9360"/>
            </w:tabs>
            <w:jc w:val="both"/>
            <w:rPr>
              <w:rFonts w:eastAsia="Arial"/>
              <w:sz w:val="22"/>
              <w:szCs w:val="22"/>
            </w:rPr>
          </w:pPr>
          <w:r w:rsidRPr="003F146F">
            <w:rPr>
              <w:rFonts w:eastAsia="Calibri"/>
              <w:noProof/>
              <w:sz w:val="22"/>
              <w:szCs w:val="22"/>
            </w:rPr>
            <w:drawing>
              <wp:inline distT="0" distB="0" distL="0" distR="0" wp14:anchorId="6E6BF35C" wp14:editId="3E6409CE">
                <wp:extent cx="1416050" cy="102050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787" cy="1046981"/>
                        </a:xfrm>
                        <a:prstGeom prst="rect">
                          <a:avLst/>
                        </a:prstGeom>
                        <a:noFill/>
                        <a:ln>
                          <a:noFill/>
                        </a:ln>
                      </pic:spPr>
                    </pic:pic>
                  </a:graphicData>
                </a:graphic>
              </wp:inline>
            </w:drawing>
          </w:r>
        </w:p>
      </w:tc>
      <w:tc>
        <w:tcPr>
          <w:tcW w:w="4932" w:type="dxa"/>
          <w:shd w:val="clear" w:color="auto" w:fill="auto"/>
        </w:tcPr>
        <w:p w14:paraId="649B351E" w14:textId="77777777" w:rsidR="001D6404" w:rsidRPr="00654F61" w:rsidRDefault="001A5C05" w:rsidP="001D6404">
          <w:pPr>
            <w:tabs>
              <w:tab w:val="center" w:pos="4680"/>
              <w:tab w:val="right" w:pos="9360"/>
            </w:tabs>
            <w:spacing w:line="288" w:lineRule="auto"/>
            <w:jc w:val="right"/>
            <w:rPr>
              <w:rFonts w:ascii="Times New Roman" w:eastAsia="Arial" w:hAnsi="Times New Roman" w:cs="Times New Roman"/>
              <w:b/>
              <w:sz w:val="22"/>
              <w:szCs w:val="22"/>
            </w:rPr>
          </w:pPr>
          <w:r w:rsidRPr="00654F61">
            <w:rPr>
              <w:rFonts w:ascii="Times New Roman" w:eastAsia="Arial" w:hAnsi="Times New Roman" w:cs="Times New Roman"/>
              <w:b/>
              <w:sz w:val="22"/>
              <w:szCs w:val="22"/>
            </w:rPr>
            <w:t xml:space="preserve">Innovative Payments Association </w:t>
          </w:r>
        </w:p>
        <w:p w14:paraId="3151BBFB" w14:textId="77777777" w:rsidR="001D6404" w:rsidRPr="00654F61" w:rsidRDefault="001A5C05" w:rsidP="001D6404">
          <w:pPr>
            <w:tabs>
              <w:tab w:val="center" w:pos="4680"/>
              <w:tab w:val="right" w:pos="9360"/>
            </w:tabs>
            <w:spacing w:line="288" w:lineRule="auto"/>
            <w:jc w:val="right"/>
            <w:rPr>
              <w:rFonts w:ascii="Times New Roman" w:eastAsia="Arial" w:hAnsi="Times New Roman" w:cs="Times New Roman"/>
              <w:sz w:val="22"/>
              <w:szCs w:val="22"/>
            </w:rPr>
          </w:pPr>
          <w:r w:rsidRPr="00654F61">
            <w:rPr>
              <w:rFonts w:ascii="Times New Roman" w:eastAsia="Arial" w:hAnsi="Times New Roman" w:cs="Times New Roman"/>
              <w:sz w:val="22"/>
              <w:szCs w:val="22"/>
            </w:rPr>
            <w:t>777 6th Street, 11th Floor</w:t>
          </w:r>
        </w:p>
        <w:p w14:paraId="27A55E3B" w14:textId="77777777" w:rsidR="001D6404" w:rsidRPr="00654F61" w:rsidRDefault="001A5C05" w:rsidP="001D6404">
          <w:pPr>
            <w:tabs>
              <w:tab w:val="center" w:pos="4680"/>
              <w:tab w:val="right" w:pos="9360"/>
            </w:tabs>
            <w:spacing w:line="288" w:lineRule="auto"/>
            <w:jc w:val="right"/>
            <w:rPr>
              <w:rFonts w:ascii="Times New Roman" w:eastAsia="Arial" w:hAnsi="Times New Roman" w:cs="Times New Roman"/>
              <w:sz w:val="22"/>
              <w:szCs w:val="22"/>
            </w:rPr>
          </w:pPr>
          <w:r w:rsidRPr="00654F61">
            <w:rPr>
              <w:rFonts w:ascii="Times New Roman" w:eastAsia="Arial" w:hAnsi="Times New Roman" w:cs="Times New Roman"/>
              <w:sz w:val="22"/>
              <w:szCs w:val="22"/>
            </w:rPr>
            <w:t>Washington, DC 20001</w:t>
          </w:r>
        </w:p>
        <w:p w14:paraId="0E1CD34E" w14:textId="77777777" w:rsidR="006F026B" w:rsidRPr="00654F61" w:rsidRDefault="001A5C05" w:rsidP="001D6404">
          <w:pPr>
            <w:tabs>
              <w:tab w:val="center" w:pos="4680"/>
              <w:tab w:val="right" w:pos="9360"/>
            </w:tabs>
            <w:jc w:val="both"/>
            <w:rPr>
              <w:rFonts w:ascii="Times New Roman" w:eastAsia="Arial" w:hAnsi="Times New Roman" w:cs="Times New Roman"/>
              <w:sz w:val="22"/>
              <w:szCs w:val="22"/>
            </w:rPr>
          </w:pPr>
          <w:r w:rsidRPr="00654F61">
            <w:rPr>
              <w:rFonts w:ascii="Times New Roman" w:eastAsia="Arial" w:hAnsi="Times New Roman" w:cs="Times New Roman"/>
              <w:sz w:val="22"/>
              <w:szCs w:val="22"/>
            </w:rPr>
            <w:tab/>
            <w:t>202.548.7200</w:t>
          </w:r>
        </w:p>
        <w:p w14:paraId="02E310F6" w14:textId="77777777" w:rsidR="001D6404" w:rsidRPr="00654F61" w:rsidRDefault="00D60F39" w:rsidP="006F026B">
          <w:pPr>
            <w:rPr>
              <w:rFonts w:ascii="Times New Roman" w:eastAsia="Arial" w:hAnsi="Times New Roman" w:cs="Times New Roman"/>
              <w:sz w:val="22"/>
              <w:szCs w:val="22"/>
            </w:rPr>
          </w:pPr>
        </w:p>
      </w:tc>
    </w:tr>
    <w:tr w:rsidR="001D6404" w:rsidRPr="001D6404" w14:paraId="3A014711" w14:textId="77777777" w:rsidTr="00C673C7">
      <w:tc>
        <w:tcPr>
          <w:tcW w:w="4932" w:type="dxa"/>
          <w:shd w:val="clear" w:color="auto" w:fill="auto"/>
        </w:tcPr>
        <w:p w14:paraId="2CD18539" w14:textId="77777777" w:rsidR="001D6404" w:rsidRPr="001D6404" w:rsidRDefault="00D60F39" w:rsidP="001D6404">
          <w:pPr>
            <w:tabs>
              <w:tab w:val="center" w:pos="4680"/>
              <w:tab w:val="right" w:pos="9360"/>
            </w:tabs>
            <w:jc w:val="both"/>
            <w:rPr>
              <w:noProof/>
              <w:lang w:eastAsia="zh-TW"/>
            </w:rPr>
          </w:pPr>
        </w:p>
      </w:tc>
      <w:tc>
        <w:tcPr>
          <w:tcW w:w="4932" w:type="dxa"/>
          <w:shd w:val="clear" w:color="auto" w:fill="auto"/>
        </w:tcPr>
        <w:p w14:paraId="7CF0B94A" w14:textId="77777777" w:rsidR="001D6404" w:rsidRPr="001D6404" w:rsidRDefault="00D60F39" w:rsidP="001D6404">
          <w:pPr>
            <w:tabs>
              <w:tab w:val="center" w:pos="4680"/>
              <w:tab w:val="right" w:pos="9360"/>
            </w:tabs>
            <w:spacing w:line="288" w:lineRule="auto"/>
            <w:jc w:val="right"/>
            <w:rPr>
              <w:rFonts w:eastAsia="Arial"/>
              <w:b/>
              <w:sz w:val="22"/>
              <w:szCs w:val="22"/>
            </w:rPr>
          </w:pPr>
        </w:p>
      </w:tc>
    </w:tr>
  </w:tbl>
  <w:p w14:paraId="5E102254" w14:textId="77777777" w:rsidR="001D6404" w:rsidRDefault="00D60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D92056"/>
    <w:multiLevelType w:val="hybridMultilevel"/>
    <w:tmpl w:val="5EAEB8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E4539B4"/>
    <w:multiLevelType w:val="hybridMultilevel"/>
    <w:tmpl w:val="B6929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85TrailerDate" w:val="0"/>
    <w:docVar w:name="85TrailerDateField" w:val="0"/>
    <w:docVar w:name="85TrailerDraft" w:val="0"/>
    <w:docVar w:name="85TrailerTime" w:val="0"/>
    <w:docVar w:name="85TrailerType" w:val="101"/>
    <w:docVar w:name="MPDocID" w:val="DOCS/2593897.1"/>
    <w:docVar w:name="MPDocIDTemplate" w:val="%l/|%n|.%v|"/>
    <w:docVar w:name="MPDocIDTemplateDefault" w:val="%l/|%n|.%v|"/>
    <w:docVar w:name="NewDocStampType" w:val="2"/>
    <w:docVar w:name="zzmpFixed_MacPacVersion" w:val="9.0"/>
  </w:docVars>
  <w:rsids>
    <w:rsidRoot w:val="00584744"/>
    <w:rsid w:val="00042EA5"/>
    <w:rsid w:val="001210E6"/>
    <w:rsid w:val="00136D9D"/>
    <w:rsid w:val="001A5C05"/>
    <w:rsid w:val="00227601"/>
    <w:rsid w:val="002C6F34"/>
    <w:rsid w:val="00323031"/>
    <w:rsid w:val="003C5FDE"/>
    <w:rsid w:val="00584744"/>
    <w:rsid w:val="006105A9"/>
    <w:rsid w:val="00674608"/>
    <w:rsid w:val="006A331A"/>
    <w:rsid w:val="00755A25"/>
    <w:rsid w:val="008666DC"/>
    <w:rsid w:val="0095691E"/>
    <w:rsid w:val="00A34E6F"/>
    <w:rsid w:val="00A66247"/>
    <w:rsid w:val="00AD3307"/>
    <w:rsid w:val="00B15F46"/>
    <w:rsid w:val="00BA547C"/>
    <w:rsid w:val="00BE0078"/>
    <w:rsid w:val="00BF276F"/>
    <w:rsid w:val="00C32F70"/>
    <w:rsid w:val="00C359C2"/>
    <w:rsid w:val="00C66D50"/>
    <w:rsid w:val="00D60F39"/>
    <w:rsid w:val="00DE53FE"/>
    <w:rsid w:val="00E053CB"/>
    <w:rsid w:val="00E54AAE"/>
    <w:rsid w:val="00F1681B"/>
    <w:rsid w:val="00F31802"/>
    <w:rsid w:val="00F35454"/>
    <w:rsid w:val="00FB4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1A93"/>
  <w15:chartTrackingRefBased/>
  <w15:docId w15:val="{2FB7BA8D-DD2B-449F-B2C2-13370700A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FDE"/>
  </w:style>
  <w:style w:type="paragraph" w:styleId="Heading1">
    <w:name w:val="heading 1"/>
    <w:basedOn w:val="Normal"/>
    <w:next w:val="Normal"/>
    <w:link w:val="Heading1Char"/>
    <w:uiPriority w:val="9"/>
    <w:qFormat/>
    <w:rsid w:val="003C5FDE"/>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3C5FDE"/>
    <w:pPr>
      <w:keepNext/>
      <w:keepLines/>
      <w:spacing w:before="200"/>
      <w:outlineLvl w:val="1"/>
    </w:pPr>
    <w:rPr>
      <w:rFonts w:eastAsiaTheme="majorEastAsia" w:cstheme="majorBidi"/>
      <w:b/>
      <w:bCs/>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Continued">
    <w:name w:val="Body Text Continued"/>
    <w:basedOn w:val="BodyText"/>
    <w:next w:val="BodyText"/>
    <w:rsid w:val="003C5FDE"/>
    <w:pPr>
      <w:ind w:firstLine="0"/>
    </w:pPr>
    <w:rPr>
      <w:rFonts w:eastAsia="Times New Roman" w:cs="Times New Roman"/>
      <w:szCs w:val="20"/>
    </w:rPr>
  </w:style>
  <w:style w:type="paragraph" w:styleId="BodyText">
    <w:name w:val="Body Text"/>
    <w:basedOn w:val="Normal"/>
    <w:link w:val="BodyTextChar"/>
    <w:rsid w:val="003C5FDE"/>
    <w:pPr>
      <w:widowControl w:val="0"/>
      <w:spacing w:after="240"/>
      <w:ind w:firstLine="720"/>
    </w:pPr>
  </w:style>
  <w:style w:type="character" w:customStyle="1" w:styleId="BodyTextChar">
    <w:name w:val="Body Text Char"/>
    <w:basedOn w:val="DefaultParagraphFont"/>
    <w:link w:val="BodyText"/>
    <w:rsid w:val="003C5FDE"/>
  </w:style>
  <w:style w:type="character" w:customStyle="1" w:styleId="Heading1Char">
    <w:name w:val="Heading 1 Char"/>
    <w:basedOn w:val="DefaultParagraphFont"/>
    <w:link w:val="Heading1"/>
    <w:uiPriority w:val="9"/>
    <w:rsid w:val="003C5FDE"/>
    <w:rPr>
      <w:rFonts w:eastAsiaTheme="majorEastAsia" w:cstheme="majorBidi"/>
      <w:b/>
      <w:bCs/>
      <w:color w:val="000000" w:themeColor="text1"/>
      <w:szCs w:val="28"/>
    </w:rPr>
  </w:style>
  <w:style w:type="character" w:customStyle="1" w:styleId="Heading2Char">
    <w:name w:val="Heading 2 Char"/>
    <w:basedOn w:val="DefaultParagraphFont"/>
    <w:link w:val="Heading2"/>
    <w:uiPriority w:val="9"/>
    <w:semiHidden/>
    <w:rsid w:val="003C5FDE"/>
    <w:rPr>
      <w:rFonts w:eastAsiaTheme="majorEastAsia" w:cstheme="majorBidi"/>
      <w:b/>
      <w:bCs/>
      <w:color w:val="000000" w:themeColor="text1"/>
      <w:szCs w:val="26"/>
      <w:u w:val="single"/>
    </w:rPr>
  </w:style>
  <w:style w:type="paragraph" w:styleId="Header">
    <w:name w:val="header"/>
    <w:basedOn w:val="Normal"/>
    <w:link w:val="HeaderChar"/>
    <w:rsid w:val="003C5FDE"/>
    <w:pPr>
      <w:tabs>
        <w:tab w:val="center" w:pos="4680"/>
        <w:tab w:val="right" w:pos="9360"/>
      </w:tabs>
    </w:pPr>
    <w:rPr>
      <w:rFonts w:eastAsia="Times New Roman" w:cs="Times New Roman"/>
    </w:rPr>
  </w:style>
  <w:style w:type="character" w:customStyle="1" w:styleId="HeaderChar">
    <w:name w:val="Header Char"/>
    <w:basedOn w:val="DefaultParagraphFont"/>
    <w:link w:val="Header"/>
    <w:rsid w:val="003C5FDE"/>
    <w:rPr>
      <w:rFonts w:eastAsia="Times New Roman" w:cs="Times New Roman"/>
    </w:rPr>
  </w:style>
  <w:style w:type="paragraph" w:styleId="Footer">
    <w:name w:val="footer"/>
    <w:basedOn w:val="Normal"/>
    <w:link w:val="FooterChar"/>
    <w:rsid w:val="003C5FDE"/>
    <w:pPr>
      <w:tabs>
        <w:tab w:val="center" w:pos="4680"/>
        <w:tab w:val="right" w:pos="9360"/>
      </w:tabs>
    </w:pPr>
    <w:rPr>
      <w:rFonts w:eastAsia="Times New Roman" w:cs="Times New Roman"/>
    </w:rPr>
  </w:style>
  <w:style w:type="character" w:customStyle="1" w:styleId="FooterChar">
    <w:name w:val="Footer Char"/>
    <w:basedOn w:val="DefaultParagraphFont"/>
    <w:link w:val="Footer"/>
    <w:rsid w:val="003C5FDE"/>
    <w:rPr>
      <w:rFonts w:eastAsia="Times New Roman" w:cs="Times New Roman"/>
    </w:rPr>
  </w:style>
  <w:style w:type="character" w:styleId="PageNumber">
    <w:name w:val="page number"/>
    <w:basedOn w:val="DefaultParagraphFont"/>
    <w:rsid w:val="003C5FDE"/>
  </w:style>
  <w:style w:type="paragraph" w:styleId="Title">
    <w:name w:val="Title"/>
    <w:basedOn w:val="Normal"/>
    <w:next w:val="Normal"/>
    <w:link w:val="TitleChar"/>
    <w:uiPriority w:val="10"/>
    <w:qFormat/>
    <w:rsid w:val="003C5FDE"/>
    <w:pPr>
      <w:pBdr>
        <w:bottom w:val="single" w:sz="8" w:space="4" w:color="auto"/>
      </w:pBdr>
      <w:spacing w:after="240"/>
      <w:contextualSpacing/>
    </w:pPr>
    <w:rPr>
      <w:rFonts w:eastAsiaTheme="majorEastAsia" w:cstheme="majorBidi"/>
      <w:spacing w:val="5"/>
      <w:kern w:val="28"/>
      <w:sz w:val="28"/>
      <w:szCs w:val="52"/>
    </w:rPr>
  </w:style>
  <w:style w:type="character" w:customStyle="1" w:styleId="TitleChar">
    <w:name w:val="Title Char"/>
    <w:basedOn w:val="DefaultParagraphFont"/>
    <w:link w:val="Title"/>
    <w:uiPriority w:val="10"/>
    <w:rsid w:val="003C5FDE"/>
    <w:rPr>
      <w:rFonts w:eastAsiaTheme="majorEastAsia" w:cstheme="majorBidi"/>
      <w:spacing w:val="5"/>
      <w:kern w:val="28"/>
      <w:sz w:val="28"/>
      <w:szCs w:val="52"/>
    </w:rPr>
  </w:style>
  <w:style w:type="paragraph" w:styleId="Subtitle">
    <w:name w:val="Subtitle"/>
    <w:basedOn w:val="Normal"/>
    <w:next w:val="Normal"/>
    <w:link w:val="SubtitleChar"/>
    <w:uiPriority w:val="11"/>
    <w:qFormat/>
    <w:rsid w:val="003C5FDE"/>
    <w:pPr>
      <w:numPr>
        <w:ilvl w:val="1"/>
      </w:numPr>
    </w:pPr>
    <w:rPr>
      <w:rFonts w:eastAsiaTheme="majorEastAsia" w:cstheme="majorBidi"/>
      <w:i/>
      <w:iCs/>
      <w:spacing w:val="15"/>
    </w:rPr>
  </w:style>
  <w:style w:type="character" w:customStyle="1" w:styleId="SubtitleChar">
    <w:name w:val="Subtitle Char"/>
    <w:basedOn w:val="DefaultParagraphFont"/>
    <w:link w:val="Subtitle"/>
    <w:uiPriority w:val="11"/>
    <w:rsid w:val="003C5FDE"/>
    <w:rPr>
      <w:rFonts w:eastAsiaTheme="majorEastAsia" w:cstheme="majorBidi"/>
      <w:i/>
      <w:iCs/>
      <w:spacing w:val="15"/>
    </w:rPr>
  </w:style>
  <w:style w:type="character" w:styleId="Strong">
    <w:name w:val="Strong"/>
    <w:basedOn w:val="DefaultParagraphFont"/>
    <w:uiPriority w:val="22"/>
    <w:qFormat/>
    <w:rsid w:val="003C5FDE"/>
    <w:rPr>
      <w:b/>
      <w:bCs/>
    </w:rPr>
  </w:style>
  <w:style w:type="character" w:styleId="Emphasis">
    <w:name w:val="Emphasis"/>
    <w:basedOn w:val="DefaultParagraphFont"/>
    <w:uiPriority w:val="20"/>
    <w:qFormat/>
    <w:rsid w:val="003C5FDE"/>
    <w:rPr>
      <w:i/>
      <w:iCs/>
    </w:rPr>
  </w:style>
  <w:style w:type="paragraph" w:styleId="Quote">
    <w:name w:val="Quote"/>
    <w:basedOn w:val="Normal"/>
    <w:next w:val="BodyTextContinued"/>
    <w:link w:val="QuoteChar"/>
    <w:qFormat/>
    <w:rsid w:val="003C5FDE"/>
    <w:pPr>
      <w:spacing w:after="240"/>
      <w:ind w:left="1440" w:right="1440"/>
    </w:pPr>
    <w:rPr>
      <w:rFonts w:eastAsia="Times New Roman" w:cs="Times New Roman"/>
      <w:szCs w:val="20"/>
    </w:rPr>
  </w:style>
  <w:style w:type="character" w:customStyle="1" w:styleId="QuoteChar">
    <w:name w:val="Quote Char"/>
    <w:basedOn w:val="DefaultParagraphFont"/>
    <w:link w:val="Quote"/>
    <w:rsid w:val="003C5FDE"/>
    <w:rPr>
      <w:rFonts w:eastAsia="Times New Roman" w:cs="Times New Roman"/>
      <w:szCs w:val="20"/>
    </w:rPr>
  </w:style>
  <w:style w:type="paragraph" w:styleId="IntenseQuote">
    <w:name w:val="Intense Quote"/>
    <w:basedOn w:val="Normal"/>
    <w:next w:val="Normal"/>
    <w:link w:val="IntenseQuoteChar"/>
    <w:uiPriority w:val="30"/>
    <w:qFormat/>
    <w:rsid w:val="003C5FDE"/>
    <w:pPr>
      <w:pBdr>
        <w:bottom w:val="single" w:sz="4" w:space="4" w:color="5B9BD5" w:themeColor="accent1"/>
      </w:pBdr>
      <w:spacing w:before="200" w:after="280"/>
      <w:ind w:left="936" w:right="936"/>
    </w:pPr>
    <w:rPr>
      <w:rFonts w:eastAsia="Times New Roman" w:cs="Times New Roman"/>
      <w:b/>
      <w:bCs/>
      <w:i/>
      <w:iCs/>
    </w:rPr>
  </w:style>
  <w:style w:type="character" w:customStyle="1" w:styleId="IntenseQuoteChar">
    <w:name w:val="Intense Quote Char"/>
    <w:basedOn w:val="DefaultParagraphFont"/>
    <w:link w:val="IntenseQuote"/>
    <w:uiPriority w:val="30"/>
    <w:rsid w:val="003C5FDE"/>
    <w:rPr>
      <w:rFonts w:eastAsia="Times New Roman" w:cs="Times New Roman"/>
      <w:b/>
      <w:bCs/>
      <w:i/>
      <w:iCs/>
    </w:rPr>
  </w:style>
  <w:style w:type="character" w:styleId="SubtleEmphasis">
    <w:name w:val="Subtle Emphasis"/>
    <w:basedOn w:val="DefaultParagraphFont"/>
    <w:uiPriority w:val="19"/>
    <w:qFormat/>
    <w:rsid w:val="003C5FDE"/>
    <w:rPr>
      <w:i/>
      <w:iCs/>
      <w:color w:val="808080" w:themeColor="text1" w:themeTint="7F"/>
    </w:rPr>
  </w:style>
  <w:style w:type="character" w:styleId="IntenseEmphasis">
    <w:name w:val="Intense Emphasis"/>
    <w:basedOn w:val="DefaultParagraphFont"/>
    <w:uiPriority w:val="21"/>
    <w:qFormat/>
    <w:rsid w:val="003C5FDE"/>
    <w:rPr>
      <w:b/>
      <w:bCs/>
      <w:i/>
      <w:iCs/>
      <w:color w:val="auto"/>
    </w:rPr>
  </w:style>
  <w:style w:type="character" w:styleId="SubtleReference">
    <w:name w:val="Subtle Reference"/>
    <w:basedOn w:val="DefaultParagraphFont"/>
    <w:uiPriority w:val="31"/>
    <w:qFormat/>
    <w:rsid w:val="003C5FDE"/>
    <w:rPr>
      <w:smallCaps/>
      <w:color w:val="7F7F7F" w:themeColor="text1" w:themeTint="80"/>
      <w:u w:val="single"/>
    </w:rPr>
  </w:style>
  <w:style w:type="character" w:styleId="IntenseReference">
    <w:name w:val="Intense Reference"/>
    <w:basedOn w:val="DefaultParagraphFont"/>
    <w:uiPriority w:val="32"/>
    <w:qFormat/>
    <w:rsid w:val="003C5FDE"/>
    <w:rPr>
      <w:b/>
      <w:bCs/>
      <w:smallCaps/>
      <w:color w:val="7F7F7F" w:themeColor="text1" w:themeTint="80"/>
      <w:spacing w:val="5"/>
      <w:u w:val="single"/>
    </w:rPr>
  </w:style>
  <w:style w:type="character" w:styleId="BookTitle">
    <w:name w:val="Book Title"/>
    <w:basedOn w:val="DefaultParagraphFont"/>
    <w:uiPriority w:val="33"/>
    <w:qFormat/>
    <w:rsid w:val="003C5FDE"/>
    <w:rPr>
      <w:b/>
      <w:bCs/>
      <w:smallCaps/>
      <w:spacing w:val="5"/>
    </w:rPr>
  </w:style>
  <w:style w:type="paragraph" w:styleId="FootnoteText">
    <w:name w:val="footnote text"/>
    <w:basedOn w:val="Normal"/>
    <w:link w:val="FootnoteTextChar"/>
    <w:uiPriority w:val="99"/>
    <w:semiHidden/>
    <w:unhideWhenUsed/>
    <w:rsid w:val="00584744"/>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584744"/>
    <w:rPr>
      <w:rFonts w:ascii="Times New Roman" w:eastAsia="Calibri" w:hAnsi="Times New Roman" w:cs="Times New Roman"/>
      <w:sz w:val="20"/>
      <w:szCs w:val="20"/>
    </w:rPr>
  </w:style>
  <w:style w:type="character" w:styleId="FootnoteReference">
    <w:name w:val="footnote reference"/>
    <w:basedOn w:val="DefaultParagraphFont"/>
    <w:uiPriority w:val="99"/>
    <w:unhideWhenUsed/>
    <w:rsid w:val="00584744"/>
    <w:rPr>
      <w:vertAlign w:val="superscript"/>
    </w:rPr>
  </w:style>
  <w:style w:type="character" w:styleId="Hyperlink">
    <w:name w:val="Hyperlink"/>
    <w:basedOn w:val="DefaultParagraphFont"/>
    <w:uiPriority w:val="99"/>
    <w:unhideWhenUsed/>
    <w:rsid w:val="00584744"/>
    <w:rPr>
      <w:color w:val="0563C1" w:themeColor="hyperlink"/>
      <w:u w:val="single"/>
    </w:rPr>
  </w:style>
  <w:style w:type="paragraph" w:styleId="ListParagraph">
    <w:name w:val="List Paragraph"/>
    <w:basedOn w:val="Normal"/>
    <w:uiPriority w:val="34"/>
    <w:qFormat/>
    <w:rsid w:val="00BE0078"/>
    <w:pPr>
      <w:ind w:left="720"/>
      <w:contextualSpacing/>
    </w:pPr>
  </w:style>
  <w:style w:type="character" w:customStyle="1" w:styleId="zzmpTrailerItem">
    <w:name w:val="zzmpTrailerItem"/>
    <w:rsid w:val="001A5C05"/>
    <w:rPr>
      <w:rFonts w:ascii="Arial" w:hAnsi="Arial" w:cs="Arial"/>
      <w:dstrike w:val="0"/>
      <w:noProof/>
      <w:color w:val="auto"/>
      <w:spacing w:val="0"/>
      <w:position w:val="0"/>
      <w:sz w:val="16"/>
      <w:szCs w:val="16"/>
      <w:u w:val="none"/>
      <w:effect w:val="none"/>
      <w:vertAlign w:val="baseline"/>
    </w:rPr>
  </w:style>
  <w:style w:type="character" w:styleId="CommentReference">
    <w:name w:val="annotation reference"/>
    <w:basedOn w:val="DefaultParagraphFont"/>
    <w:uiPriority w:val="99"/>
    <w:semiHidden/>
    <w:unhideWhenUsed/>
    <w:rsid w:val="00227601"/>
    <w:rPr>
      <w:sz w:val="16"/>
      <w:szCs w:val="16"/>
    </w:rPr>
  </w:style>
  <w:style w:type="paragraph" w:styleId="CommentText">
    <w:name w:val="annotation text"/>
    <w:basedOn w:val="Normal"/>
    <w:link w:val="CommentTextChar"/>
    <w:uiPriority w:val="99"/>
    <w:semiHidden/>
    <w:unhideWhenUsed/>
    <w:rsid w:val="00227601"/>
    <w:rPr>
      <w:sz w:val="20"/>
      <w:szCs w:val="20"/>
    </w:rPr>
  </w:style>
  <w:style w:type="character" w:customStyle="1" w:styleId="CommentTextChar">
    <w:name w:val="Comment Text Char"/>
    <w:basedOn w:val="DefaultParagraphFont"/>
    <w:link w:val="CommentText"/>
    <w:uiPriority w:val="99"/>
    <w:semiHidden/>
    <w:rsid w:val="00227601"/>
    <w:rPr>
      <w:sz w:val="20"/>
      <w:szCs w:val="20"/>
    </w:rPr>
  </w:style>
  <w:style w:type="paragraph" w:styleId="CommentSubject">
    <w:name w:val="annotation subject"/>
    <w:basedOn w:val="CommentText"/>
    <w:next w:val="CommentText"/>
    <w:link w:val="CommentSubjectChar"/>
    <w:uiPriority w:val="99"/>
    <w:semiHidden/>
    <w:unhideWhenUsed/>
    <w:rsid w:val="00227601"/>
    <w:rPr>
      <w:b/>
      <w:bCs/>
    </w:rPr>
  </w:style>
  <w:style w:type="character" w:customStyle="1" w:styleId="CommentSubjectChar">
    <w:name w:val="Comment Subject Char"/>
    <w:basedOn w:val="CommentTextChar"/>
    <w:link w:val="CommentSubject"/>
    <w:uiPriority w:val="99"/>
    <w:semiHidden/>
    <w:rsid w:val="00227601"/>
    <w:rPr>
      <w:b/>
      <w:bCs/>
      <w:sz w:val="20"/>
      <w:szCs w:val="20"/>
    </w:rPr>
  </w:style>
  <w:style w:type="paragraph" w:styleId="BalloonText">
    <w:name w:val="Balloon Text"/>
    <w:basedOn w:val="Normal"/>
    <w:link w:val="BalloonTextChar"/>
    <w:uiPriority w:val="99"/>
    <w:semiHidden/>
    <w:unhideWhenUsed/>
    <w:rsid w:val="002276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6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thew.j.eichner@frb.gov" TargetMode="External"/><Relationship Id="rId13" Type="http://schemas.openxmlformats.org/officeDocument/2006/relationships/hyperlink" Target="https://news.bloomberglaw.com/banking-law/insight-prepaid-cards-a-critical-tool-in-providing-financial-relief" TargetMode="External"/><Relationship Id="rId18" Type="http://schemas.openxmlformats.org/officeDocument/2006/relationships/hyperlink" Target="https://meeks.house.gov/sites/meeks.house.gov/files/wysiwyg_uploaded/Meeks%20-%20Tipton%20Coronavirus%20Stimulus%20Payments%20Unbanked-%20Mnuchin%20Treasury%20FINAL.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jones.senate.gov/imo/media/doc/Jones%20Cotton%20Letter%20to%20Sec%20Mnuchin%20re%20Stimulus%20Checks%20on%20Debit%20Cards%20Signed%20April%2007%202020%20FINAL.pdf" TargetMode="External"/><Relationship Id="rId7" Type="http://schemas.openxmlformats.org/officeDocument/2006/relationships/endnotes" Target="endnotes.xml"/><Relationship Id="rId12" Type="http://schemas.openxmlformats.org/officeDocument/2006/relationships/hyperlink" Target="https://www.npr.org/2020/04/10/832069794/those-1-200-emergency-payments-are-arriving-and-debt-collectors-may-be-eyeing-th" TargetMode="External"/><Relationship Id="rId17" Type="http://schemas.openxmlformats.org/officeDocument/2006/relationships/hyperlink" Target="https://fiscal.treasury.gov/GoDirect/media/release/us-treasury-retires-paper-check-option/index.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deralreserve.gov/publications/2019-september-prepaid-card.htm" TargetMode="External"/><Relationship Id="rId20" Type="http://schemas.openxmlformats.org/officeDocument/2006/relationships/hyperlink" Target="https://nbpca-my.sharepoint.com/personal/ghannah_ipa_org/_layouts/15/onedrive.aspx?id=%2Fpersonal%2Fghannah%5Fipa%5Forg%2FDocuments%2FLKM%20Letter%20to%20Deputy%20Assistant%20Secretary%20Nunnally%2Epdf&amp;parent=%2Fpersonal%2Fghannah%5Fipa%5Forg%2FDocu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merfinance.gov/about-us/newsroom/cfpb-paves-way-consumers-receive-economic-impact-payments-quicke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3.amazonaws.com/cfsi-innovation-files-2018/wp-content/uploads/2016/03/14155113/2016-Prepaid-Scorecard-FINAL.pdf" TargetMode="External"/><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nbpca-my.sharepoint.com/:b:/g/personal/ghannah_ipa_org/ET_M9a8qA4REmGACwx8UoT0BTNA8ooaDJZzKBnrqBWOlkQ" TargetMode="External"/><Relationship Id="rId4" Type="http://schemas.openxmlformats.org/officeDocument/2006/relationships/settings" Target="settings.xml"/><Relationship Id="rId9" Type="http://schemas.openxmlformats.org/officeDocument/2006/relationships/hyperlink" Target="mailto:btate@ipa.org" TargetMode="External"/><Relationship Id="rId14" Type="http://schemas.openxmlformats.org/officeDocument/2006/relationships/hyperlink" Target="https://finhealthnetwork.org/research/prepaid-cards/" TargetMode="External"/><Relationship Id="rId22" Type="http://schemas.openxmlformats.org/officeDocument/2006/relationships/hyperlink" Target="https://www.ipa.org/uploads/1/3/1/4/131403368/letter_to_treasury_and_the_irs_on_rebate_payment_method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ederalreserve.gov/regreform/rr-commpublic/tch-meeting-202012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16FBD-DFD7-42C6-8CF3-E27DC4835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Rosenberg</dc:creator>
  <cp:keywords/>
  <dc:description/>
  <cp:lastModifiedBy>Eli Rosenberg</cp:lastModifiedBy>
  <cp:revision>11</cp:revision>
  <dcterms:created xsi:type="dcterms:W3CDTF">2021-02-07T17:39:00Z</dcterms:created>
  <dcterms:modified xsi:type="dcterms:W3CDTF">2021-02-11T14:07:00Z</dcterms:modified>
</cp:coreProperties>
</file>